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AABA" w14:textId="76B408ED" w:rsidR="00644D1F" w:rsidRPr="00644D1F" w:rsidRDefault="00644D1F" w:rsidP="00644D1F">
      <w:pPr>
        <w:pStyle w:val="Betarp"/>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644D1F">
        <w:rPr>
          <w:rFonts w:ascii="Times New Roman" w:hAnsi="Times New Roman" w:cs="Times New Roman"/>
          <w:sz w:val="24"/>
          <w:szCs w:val="24"/>
        </w:rPr>
        <w:t>PATVIRTINTA</w:t>
      </w:r>
    </w:p>
    <w:p w14:paraId="64F07A54" w14:textId="68D815A8" w:rsidR="00C842DB" w:rsidRPr="00644D1F" w:rsidRDefault="00644D1F" w:rsidP="00644D1F">
      <w:pPr>
        <w:pStyle w:val="Betarp"/>
        <w:rPr>
          <w:rFonts w:ascii="Times New Roman" w:hAnsi="Times New Roman" w:cs="Times New Roman"/>
          <w:sz w:val="24"/>
          <w:szCs w:val="24"/>
        </w:rPr>
      </w:pPr>
      <w:r w:rsidRPr="00644D1F">
        <w:rPr>
          <w:rFonts w:ascii="Times New Roman" w:hAnsi="Times New Roman" w:cs="Times New Roman"/>
          <w:sz w:val="24"/>
          <w:szCs w:val="24"/>
        </w:rPr>
        <w:t xml:space="preserve">                                                                                      Joniškio rajono savivaldybės administracijos</w:t>
      </w:r>
    </w:p>
    <w:p w14:paraId="44C3AE50" w14:textId="73C75239" w:rsidR="00644D1F" w:rsidRDefault="00644D1F" w:rsidP="00644D1F">
      <w:pPr>
        <w:pStyle w:val="Betarp"/>
        <w:rPr>
          <w:rFonts w:ascii="Times New Roman" w:hAnsi="Times New Roman" w:cs="Times New Roman"/>
          <w:sz w:val="24"/>
          <w:szCs w:val="24"/>
        </w:rPr>
      </w:pPr>
      <w:r w:rsidRPr="00644D1F">
        <w:rPr>
          <w:rFonts w:ascii="Times New Roman" w:hAnsi="Times New Roman" w:cs="Times New Roman"/>
          <w:sz w:val="24"/>
          <w:szCs w:val="24"/>
        </w:rPr>
        <w:t xml:space="preserve">                                                                                      Švietimo, kultūros ir sporto skyriaus vedėjo </w:t>
      </w:r>
    </w:p>
    <w:p w14:paraId="40AA44BA" w14:textId="76847728" w:rsidR="00644D1F" w:rsidRDefault="00644D1F" w:rsidP="00644D1F">
      <w:pPr>
        <w:pStyle w:val="Betarp"/>
        <w:rPr>
          <w:rFonts w:ascii="Times New Roman" w:hAnsi="Times New Roman" w:cs="Times New Roman"/>
          <w:sz w:val="24"/>
          <w:szCs w:val="24"/>
        </w:rPr>
      </w:pPr>
      <w:r>
        <w:rPr>
          <w:rFonts w:ascii="Times New Roman" w:hAnsi="Times New Roman" w:cs="Times New Roman"/>
          <w:sz w:val="24"/>
          <w:szCs w:val="24"/>
        </w:rPr>
        <w:t xml:space="preserve">                                                                                      2022 m. sausio </w:t>
      </w:r>
      <w:r w:rsidR="008D4E03">
        <w:rPr>
          <w:rFonts w:ascii="Times New Roman" w:hAnsi="Times New Roman" w:cs="Times New Roman"/>
          <w:sz w:val="24"/>
          <w:szCs w:val="24"/>
        </w:rPr>
        <w:t xml:space="preserve">24 </w:t>
      </w:r>
      <w:r>
        <w:rPr>
          <w:rFonts w:ascii="Times New Roman" w:hAnsi="Times New Roman" w:cs="Times New Roman"/>
          <w:sz w:val="24"/>
          <w:szCs w:val="24"/>
        </w:rPr>
        <w:t>d. įsakymu Nr. 8V-</w:t>
      </w:r>
      <w:r w:rsidR="008D4E03">
        <w:rPr>
          <w:rFonts w:ascii="Times New Roman" w:hAnsi="Times New Roman" w:cs="Times New Roman"/>
          <w:sz w:val="24"/>
          <w:szCs w:val="24"/>
        </w:rPr>
        <w:t>3</w:t>
      </w:r>
    </w:p>
    <w:p w14:paraId="6FB061EF" w14:textId="5CA9EE41" w:rsidR="00644D1F" w:rsidRDefault="00644D1F" w:rsidP="00644D1F">
      <w:pPr>
        <w:pStyle w:val="Betarp"/>
        <w:rPr>
          <w:rFonts w:ascii="Times New Roman" w:hAnsi="Times New Roman" w:cs="Times New Roman"/>
          <w:sz w:val="24"/>
          <w:szCs w:val="24"/>
        </w:rPr>
      </w:pPr>
    </w:p>
    <w:p w14:paraId="7E262B1F" w14:textId="77777777" w:rsidR="00644D1F" w:rsidRPr="00644D1F" w:rsidRDefault="00644D1F" w:rsidP="00644D1F">
      <w:pPr>
        <w:pStyle w:val="Betarp"/>
        <w:rPr>
          <w:rFonts w:ascii="Times New Roman" w:hAnsi="Times New Roman" w:cs="Times New Roman"/>
          <w:b/>
          <w:sz w:val="24"/>
          <w:szCs w:val="24"/>
        </w:rPr>
      </w:pPr>
    </w:p>
    <w:p w14:paraId="18C761FE" w14:textId="5C87E887" w:rsidR="00093F7A" w:rsidRDefault="00506286" w:rsidP="00093F7A">
      <w:pPr>
        <w:jc w:val="center"/>
        <w:rPr>
          <w:rFonts w:ascii="Times New Roman" w:hAnsi="Times New Roman" w:cs="Times New Roman"/>
          <w:b/>
          <w:sz w:val="24"/>
          <w:szCs w:val="24"/>
        </w:rPr>
      </w:pPr>
      <w:r w:rsidRPr="00506286">
        <w:rPr>
          <w:rFonts w:ascii="Times New Roman" w:hAnsi="Times New Roman" w:cs="Times New Roman"/>
          <w:b/>
          <w:sz w:val="24"/>
          <w:szCs w:val="24"/>
        </w:rPr>
        <w:t>JONIŠKIO RAJONO SAVIVALDYBĖS 20</w:t>
      </w:r>
      <w:r w:rsidR="006956EB">
        <w:rPr>
          <w:rFonts w:ascii="Times New Roman" w:hAnsi="Times New Roman" w:cs="Times New Roman"/>
          <w:b/>
          <w:sz w:val="24"/>
          <w:szCs w:val="24"/>
        </w:rPr>
        <w:t>21</w:t>
      </w:r>
      <w:r w:rsidRPr="00506286">
        <w:rPr>
          <w:rFonts w:ascii="Times New Roman" w:hAnsi="Times New Roman" w:cs="Times New Roman"/>
          <w:b/>
          <w:sz w:val="24"/>
          <w:szCs w:val="24"/>
        </w:rPr>
        <w:t xml:space="preserve"> METŲ ŠVIETIMO PAŽANGOS ATASKAITA</w:t>
      </w:r>
    </w:p>
    <w:p w14:paraId="5C9262AB" w14:textId="77777777" w:rsidR="00C716A7" w:rsidRDefault="00C716A7" w:rsidP="00CC25CF">
      <w:pPr>
        <w:pStyle w:val="Betarp"/>
        <w:spacing w:line="276" w:lineRule="auto"/>
        <w:rPr>
          <w:rFonts w:ascii="Times New Roman" w:hAnsi="Times New Roman" w:cs="Times New Roman"/>
          <w:b/>
          <w:color w:val="000000"/>
          <w:sz w:val="24"/>
          <w:szCs w:val="24"/>
        </w:rPr>
      </w:pPr>
    </w:p>
    <w:p w14:paraId="3406FC8E" w14:textId="3F207E19" w:rsidR="0082166C" w:rsidRDefault="0082166C" w:rsidP="00CC25CF">
      <w:pPr>
        <w:pStyle w:val="Betarp"/>
        <w:spacing w:line="276" w:lineRule="auto"/>
        <w:rPr>
          <w:rFonts w:ascii="Times New Roman" w:hAnsi="Times New Roman" w:cs="Times New Roman"/>
          <w:b/>
          <w:color w:val="000000"/>
          <w:sz w:val="24"/>
          <w:szCs w:val="24"/>
        </w:rPr>
      </w:pPr>
      <w:r w:rsidRPr="0082166C">
        <w:rPr>
          <w:rFonts w:ascii="Times New Roman" w:hAnsi="Times New Roman" w:cs="Times New Roman"/>
          <w:b/>
          <w:color w:val="000000"/>
          <w:sz w:val="24"/>
          <w:szCs w:val="24"/>
        </w:rPr>
        <w:t>Švietimo būklės apžvalga</w:t>
      </w:r>
    </w:p>
    <w:p w14:paraId="0B139EAB" w14:textId="77777777" w:rsidR="0082166C" w:rsidRPr="0082166C" w:rsidRDefault="0082166C" w:rsidP="00CC25CF">
      <w:pPr>
        <w:pStyle w:val="Betarp"/>
        <w:spacing w:line="276" w:lineRule="auto"/>
        <w:rPr>
          <w:rFonts w:ascii="Times New Roman" w:hAnsi="Times New Roman" w:cs="Times New Roman"/>
          <w:b/>
          <w:color w:val="000000"/>
          <w:sz w:val="24"/>
          <w:szCs w:val="24"/>
        </w:rPr>
      </w:pPr>
    </w:p>
    <w:p w14:paraId="36204DAA" w14:textId="07A2AA1D" w:rsidR="006956EB" w:rsidRPr="00F26525" w:rsidRDefault="006956EB" w:rsidP="00F26525">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Lietuvos Respublikos švietimo įstatymo 37 straipsnyje numatyta, kad už švietimo kokybę atsako švietimo teikėjas ir savininko teises ir pareigas įgyvendinanti institucija (dalyvių susirinkimas), o švietimo įstatymo 28 straipsnio 6 dalis reglamentuoja, kad savivaldybė privalo turėti optimalų pradinio, pagrindinio, vidurinio ir neformaliojo švietimo programų tiekėjų tinklą, užtikrinantį asmenų ugdymąsi ir jų teisę mokytis.</w:t>
      </w:r>
    </w:p>
    <w:p w14:paraId="12E3F6DE" w14:textId="6F1E1DFE" w:rsidR="00912D12" w:rsidRPr="00F26525" w:rsidRDefault="006956EB" w:rsidP="00F26525">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Joniškio rajono savivaldybė savo veiklą švietimo srityje organizavo vadovaudamasi švietimą reglamentuojančiais teisės aktais, Valstybinės švietimo 2013–2022 metų strategij</w:t>
      </w:r>
      <w:r w:rsidR="00B6415B" w:rsidRPr="00F26525">
        <w:rPr>
          <w:rFonts w:ascii="Times New Roman" w:hAnsi="Times New Roman" w:cs="Times New Roman"/>
          <w:sz w:val="24"/>
          <w:szCs w:val="24"/>
        </w:rPr>
        <w:t>a,</w:t>
      </w:r>
      <w:r w:rsidRPr="00F26525">
        <w:rPr>
          <w:rFonts w:ascii="Times New Roman" w:hAnsi="Times New Roman" w:cs="Times New Roman"/>
          <w:sz w:val="24"/>
          <w:szCs w:val="24"/>
        </w:rPr>
        <w:t xml:space="preserve"> Geros mokyklos koncepcija, Joniškio rajono savivaldybės 2021–2027 metų strategini</w:t>
      </w:r>
      <w:r w:rsidR="00B6415B" w:rsidRPr="00F26525">
        <w:rPr>
          <w:rFonts w:ascii="Times New Roman" w:hAnsi="Times New Roman" w:cs="Times New Roman"/>
          <w:sz w:val="24"/>
          <w:szCs w:val="24"/>
        </w:rPr>
        <w:t>u</w:t>
      </w:r>
      <w:r w:rsidRPr="00F26525">
        <w:rPr>
          <w:rFonts w:ascii="Times New Roman" w:hAnsi="Times New Roman" w:cs="Times New Roman"/>
          <w:sz w:val="24"/>
          <w:szCs w:val="24"/>
        </w:rPr>
        <w:t xml:space="preserve"> plėtros planu, </w:t>
      </w:r>
      <w:r w:rsidR="00E77CF3" w:rsidRPr="00F26525">
        <w:rPr>
          <w:rFonts w:ascii="Times New Roman" w:hAnsi="Times New Roman" w:cs="Times New Roman"/>
          <w:sz w:val="24"/>
          <w:szCs w:val="24"/>
        </w:rPr>
        <w:t xml:space="preserve">Joniškio rajono savivaldybės 2021–2023 metų strateginiu veiklos planu. </w:t>
      </w:r>
      <w:r w:rsidR="00E934B0" w:rsidRPr="00F26525">
        <w:rPr>
          <w:rFonts w:ascii="Times New Roman" w:hAnsi="Times New Roman" w:cs="Times New Roman"/>
          <w:sz w:val="24"/>
          <w:szCs w:val="24"/>
        </w:rPr>
        <w:t xml:space="preserve">Šiame plane numatyti </w:t>
      </w:r>
      <w:r w:rsidR="00912D12" w:rsidRPr="00F26525">
        <w:rPr>
          <w:rFonts w:ascii="Times New Roman" w:hAnsi="Times New Roman" w:cs="Times New Roman"/>
          <w:sz w:val="24"/>
          <w:szCs w:val="24"/>
        </w:rPr>
        <w:t xml:space="preserve"> švietimo srities t</w:t>
      </w:r>
      <w:r w:rsidR="00E934B0" w:rsidRPr="00F26525">
        <w:rPr>
          <w:rFonts w:ascii="Times New Roman" w:hAnsi="Times New Roman" w:cs="Times New Roman"/>
          <w:sz w:val="24"/>
          <w:szCs w:val="24"/>
        </w:rPr>
        <w:t>ikslai:</w:t>
      </w:r>
    </w:p>
    <w:p w14:paraId="2A8A98FE" w14:textId="36DD6B4D" w:rsidR="00E934B0" w:rsidRPr="00F26525" w:rsidRDefault="00E934B0" w:rsidP="00F26525">
      <w:pPr>
        <w:pStyle w:val="Betarp"/>
        <w:spacing w:line="276" w:lineRule="auto"/>
        <w:jc w:val="both"/>
        <w:rPr>
          <w:rFonts w:ascii="Times New Roman" w:hAnsi="Times New Roman" w:cs="Times New Roman"/>
          <w:b/>
          <w:bCs/>
          <w:sz w:val="24"/>
          <w:szCs w:val="24"/>
        </w:rPr>
      </w:pPr>
      <w:r w:rsidRPr="00F26525">
        <w:rPr>
          <w:rFonts w:ascii="Times New Roman" w:hAnsi="Times New Roman" w:cs="Times New Roman"/>
          <w:b/>
          <w:bCs/>
          <w:sz w:val="24"/>
          <w:szCs w:val="24"/>
        </w:rPr>
        <w:t>1. Užtikrinti kokybišką ugdymo proceso organizavimą ir didinti švietimo prieinamumą</w:t>
      </w:r>
      <w:r w:rsidR="00F26525">
        <w:rPr>
          <w:rFonts w:ascii="Times New Roman" w:hAnsi="Times New Roman" w:cs="Times New Roman"/>
          <w:b/>
          <w:bCs/>
          <w:sz w:val="24"/>
          <w:szCs w:val="24"/>
        </w:rPr>
        <w:t>.</w:t>
      </w:r>
    </w:p>
    <w:p w14:paraId="5A231F9A" w14:textId="7E626823" w:rsidR="00E934B0" w:rsidRPr="00F26525" w:rsidRDefault="00E934B0"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Uždaviniai:</w:t>
      </w:r>
    </w:p>
    <w:p w14:paraId="085E8FE7" w14:textId="1E586AFB" w:rsidR="00E934B0" w:rsidRPr="00F26525" w:rsidRDefault="00E934B0"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1.1. Sudaryti sąlygas ugdytis ir įgyti išsilavinimą pagal įvairias programas.</w:t>
      </w:r>
    </w:p>
    <w:p w14:paraId="76440AA2" w14:textId="2880DAF3" w:rsidR="00B0050B" w:rsidRPr="00F26525" w:rsidRDefault="00E934B0"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1.2. Diegti inovacijas, gerinti švietimo įstaigų materialinę bazę ir užtikrinti saugią ugdymo aplinką.</w:t>
      </w:r>
    </w:p>
    <w:p w14:paraId="731C9669" w14:textId="1CC15D21" w:rsidR="00E934B0" w:rsidRPr="00F26525" w:rsidRDefault="00E934B0" w:rsidP="00F26525">
      <w:pPr>
        <w:pStyle w:val="Betarp"/>
        <w:spacing w:line="276" w:lineRule="auto"/>
        <w:jc w:val="both"/>
        <w:rPr>
          <w:rFonts w:ascii="Times New Roman" w:hAnsi="Times New Roman" w:cs="Times New Roman"/>
          <w:b/>
          <w:bCs/>
          <w:sz w:val="24"/>
          <w:szCs w:val="24"/>
        </w:rPr>
      </w:pPr>
      <w:r w:rsidRPr="00F26525">
        <w:rPr>
          <w:rFonts w:ascii="Times New Roman" w:hAnsi="Times New Roman" w:cs="Times New Roman"/>
          <w:b/>
          <w:bCs/>
          <w:sz w:val="24"/>
          <w:szCs w:val="24"/>
        </w:rPr>
        <w:t xml:space="preserve">2. </w:t>
      </w:r>
      <w:r w:rsidR="00783D78" w:rsidRPr="00F26525">
        <w:rPr>
          <w:rFonts w:ascii="Times New Roman" w:hAnsi="Times New Roman" w:cs="Times New Roman"/>
          <w:b/>
          <w:bCs/>
          <w:sz w:val="24"/>
          <w:szCs w:val="24"/>
        </w:rPr>
        <w:t>Įgyvendinti ugdymo turinio atnaujinimo ir kitas strategijas, tobulinti švietimo vadybą.</w:t>
      </w:r>
    </w:p>
    <w:p w14:paraId="411E8072" w14:textId="2B6F941C" w:rsidR="00783D78" w:rsidRPr="00F26525" w:rsidRDefault="00783D78"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Uždaviniai:</w:t>
      </w:r>
    </w:p>
    <w:p w14:paraId="2696AEEF" w14:textId="7291ADB1" w:rsidR="00783D78" w:rsidRPr="00F26525" w:rsidRDefault="00783D78"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2.1. Tobulinti švietimo padalinio specialistų ir ugdymo įstaigų vadovų veiklos savianalizę ir vadybinę kompetenciją, koordinuoti ankstyvąją intervencinę pagalbą.</w:t>
      </w:r>
    </w:p>
    <w:p w14:paraId="7661F385" w14:textId="717197E6" w:rsidR="00783D78" w:rsidRPr="00F26525" w:rsidRDefault="00783D78" w:rsidP="00F26525">
      <w:pPr>
        <w:pStyle w:val="Betarp"/>
        <w:spacing w:line="276" w:lineRule="auto"/>
        <w:jc w:val="both"/>
        <w:rPr>
          <w:rFonts w:ascii="Times New Roman" w:hAnsi="Times New Roman" w:cs="Times New Roman"/>
          <w:b/>
          <w:bCs/>
          <w:sz w:val="24"/>
          <w:szCs w:val="24"/>
        </w:rPr>
      </w:pPr>
      <w:r w:rsidRPr="00F26525">
        <w:rPr>
          <w:rFonts w:ascii="Times New Roman" w:hAnsi="Times New Roman" w:cs="Times New Roman"/>
          <w:b/>
          <w:bCs/>
          <w:sz w:val="24"/>
          <w:szCs w:val="24"/>
        </w:rPr>
        <w:t>3. Sudaryti pozityvias sąlygas rajono mokinių saviraiškai, užimtumui ir socializacijai.</w:t>
      </w:r>
    </w:p>
    <w:p w14:paraId="2DDD51DC" w14:textId="7B635F26" w:rsidR="00B6415B" w:rsidRPr="00F26525" w:rsidRDefault="00B6415B"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Uždaviniai:</w:t>
      </w:r>
    </w:p>
    <w:p w14:paraId="7EFB97D9" w14:textId="7187771E" w:rsidR="00783D78" w:rsidRPr="00F26525" w:rsidRDefault="00783D78"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3.1. Edukacinių renginių, projektų organizavimas ir suaugusiųjų švietimas</w:t>
      </w:r>
      <w:r w:rsidR="00CC0E5A" w:rsidRPr="00F26525">
        <w:rPr>
          <w:rFonts w:ascii="Times New Roman" w:hAnsi="Times New Roman" w:cs="Times New Roman"/>
          <w:sz w:val="24"/>
          <w:szCs w:val="24"/>
        </w:rPr>
        <w:t>.</w:t>
      </w:r>
    </w:p>
    <w:p w14:paraId="74F1B23B" w14:textId="0C17B9F3" w:rsidR="00CC0E5A" w:rsidRPr="00F26525" w:rsidRDefault="00CC0E5A"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3.2. Įgyvendinti Etninės kultūros bendrosios programos nuostatas.</w:t>
      </w:r>
    </w:p>
    <w:p w14:paraId="05455561" w14:textId="2E463B3A" w:rsidR="00CC0E5A" w:rsidRPr="00F26525" w:rsidRDefault="00CC0E5A"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3.3. Sudaryti sąlygas mokiniams naudotis LR įstatymuose numatytomis socialinėmis paslaugomis ir lengvatomis.</w:t>
      </w:r>
    </w:p>
    <w:p w14:paraId="34633AC0" w14:textId="22E4AC74" w:rsidR="00F26525" w:rsidRDefault="00B0050B" w:rsidP="00495D60">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Joniškio rajono savivaldybės ugdymo įstaigų tinklą sudaro 16 biudžetinių įstaigų, teikiančių ikimokyklinio, priešmokyklinio, pradinio, pagrindinio, vidurinio, neformaliojo ugdymo programas:</w:t>
      </w:r>
    </w:p>
    <w:p w14:paraId="4D9B5509" w14:textId="589B0B3C" w:rsidR="00506286" w:rsidRDefault="00506286" w:rsidP="00F26525">
      <w:pPr>
        <w:pStyle w:val="Betarp"/>
        <w:numPr>
          <w:ilvl w:val="0"/>
          <w:numId w:val="11"/>
        </w:numPr>
        <w:spacing w:line="276" w:lineRule="auto"/>
        <w:jc w:val="both"/>
        <w:rPr>
          <w:rFonts w:ascii="Times New Roman" w:hAnsi="Times New Roman" w:cs="Times New Roman"/>
          <w:sz w:val="24"/>
          <w:szCs w:val="24"/>
        </w:rPr>
      </w:pPr>
      <w:r w:rsidRPr="00506286">
        <w:rPr>
          <w:rFonts w:ascii="Times New Roman" w:eastAsia="Calibri" w:hAnsi="Times New Roman" w:cs="Times New Roman"/>
          <w:sz w:val="24"/>
          <w:szCs w:val="24"/>
        </w:rPr>
        <w:t xml:space="preserve">3 gimnazijos </w:t>
      </w:r>
    </w:p>
    <w:p w14:paraId="5B1A281D"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progimnazija</w:t>
      </w:r>
    </w:p>
    <w:p w14:paraId="1581C551"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4 pagrindinės mokyklos</w:t>
      </w:r>
    </w:p>
    <w:p w14:paraId="2E7B73AB"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specialioji mokykla</w:t>
      </w:r>
    </w:p>
    <w:p w14:paraId="51112649"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skyrius-daugiafunkcis centras</w:t>
      </w:r>
    </w:p>
    <w:p w14:paraId="19F69D15"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Specialiojo ugdymo skyrius</w:t>
      </w:r>
    </w:p>
    <w:p w14:paraId="24F4EAF3"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lastRenderedPageBreak/>
        <w:t>1 Suaugusiųjų mokymo skyrius</w:t>
      </w:r>
    </w:p>
    <w:p w14:paraId="62E62838"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4 ikimokyklinės įstaigos</w:t>
      </w:r>
    </w:p>
    <w:p w14:paraId="32A1D22C"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4 ikimokyklinio ugdymo skyriai</w:t>
      </w:r>
    </w:p>
    <w:p w14:paraId="0508B60F" w14:textId="77777777" w:rsidR="00506286"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2 neformaliojo ugdymo įstaigos (Sporto centras ir Joniškio Algimanto Raudonikio meno mokykla su Žagarės filialu ir Atviru jaunimo centru)</w:t>
      </w:r>
    </w:p>
    <w:p w14:paraId="3A3D0948" w14:textId="09940B84" w:rsidR="00506286" w:rsidRPr="00B85D22" w:rsidRDefault="00506286" w:rsidP="00F26525">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 xml:space="preserve">1 Švietimo centras su pedagogine psichologine tarnyba </w:t>
      </w:r>
    </w:p>
    <w:p w14:paraId="4F3ED0BA" w14:textId="77777777" w:rsidR="00B85D22" w:rsidRDefault="00B85D22" w:rsidP="00B85D22">
      <w:pPr>
        <w:pStyle w:val="Betarp"/>
        <w:numPr>
          <w:ilvl w:val="0"/>
          <w:numId w:val="11"/>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viešoji įstaiga, vykdanti ikimokyklinio ugdymo programą</w:t>
      </w:r>
      <w:r>
        <w:rPr>
          <w:rFonts w:ascii="Times New Roman" w:eastAsia="Calibri" w:hAnsi="Times New Roman" w:cs="Times New Roman"/>
          <w:sz w:val="24"/>
          <w:szCs w:val="24"/>
        </w:rPr>
        <w:t xml:space="preserve"> („Spalvų Harmonija“)</w:t>
      </w:r>
      <w:r w:rsidRPr="00506286">
        <w:rPr>
          <w:rFonts w:ascii="Times New Roman" w:eastAsia="Calibri" w:hAnsi="Times New Roman" w:cs="Times New Roman"/>
          <w:sz w:val="24"/>
          <w:szCs w:val="24"/>
        </w:rPr>
        <w:t>.</w:t>
      </w:r>
    </w:p>
    <w:p w14:paraId="0F8A6C1F" w14:textId="77777777" w:rsidR="00B85D22" w:rsidRDefault="00B85D22" w:rsidP="00B85D22">
      <w:pPr>
        <w:pStyle w:val="Betarp"/>
        <w:spacing w:line="276" w:lineRule="auto"/>
        <w:ind w:left="720"/>
        <w:rPr>
          <w:rFonts w:ascii="Times New Roman" w:hAnsi="Times New Roman" w:cs="Times New Roman"/>
          <w:sz w:val="24"/>
          <w:szCs w:val="24"/>
        </w:rPr>
      </w:pPr>
    </w:p>
    <w:p w14:paraId="5D18DD25" w14:textId="77777777" w:rsidR="00F26525" w:rsidRDefault="001347AC" w:rsidP="00495D60">
      <w:pPr>
        <w:pStyle w:val="Betarp"/>
        <w:spacing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2021 m. rajone nebuvo reorganizuotų ar likviduotų ugdymo įstaigų. </w:t>
      </w:r>
      <w:r w:rsidR="00F01208" w:rsidRPr="000746C7">
        <w:rPr>
          <w:rFonts w:ascii="Times New Roman" w:hAnsi="Times New Roman" w:cs="Times New Roman"/>
          <w:sz w:val="24"/>
          <w:szCs w:val="24"/>
        </w:rPr>
        <w:t>Joniškio rajono savivaldybės taryba 20</w:t>
      </w:r>
      <w:r w:rsidR="00912D12">
        <w:rPr>
          <w:rFonts w:ascii="Times New Roman" w:hAnsi="Times New Roman" w:cs="Times New Roman"/>
          <w:sz w:val="24"/>
          <w:szCs w:val="24"/>
        </w:rPr>
        <w:t>21</w:t>
      </w:r>
      <w:r w:rsidR="00D3047C">
        <w:rPr>
          <w:rFonts w:ascii="Times New Roman" w:hAnsi="Times New Roman" w:cs="Times New Roman"/>
          <w:sz w:val="24"/>
          <w:szCs w:val="24"/>
        </w:rPr>
        <w:t xml:space="preserve"> m. </w:t>
      </w:r>
      <w:r w:rsidR="00A12CBA" w:rsidRPr="00A12CBA">
        <w:rPr>
          <w:rFonts w:ascii="Times New Roman" w:hAnsi="Times New Roman" w:cs="Times New Roman"/>
          <w:sz w:val="24"/>
          <w:szCs w:val="24"/>
        </w:rPr>
        <w:t xml:space="preserve">lapkričio 25 d. </w:t>
      </w:r>
      <w:r w:rsidR="00A12CBA">
        <w:rPr>
          <w:rFonts w:ascii="Times New Roman" w:hAnsi="Times New Roman" w:cs="Times New Roman"/>
          <w:sz w:val="24"/>
          <w:szCs w:val="24"/>
        </w:rPr>
        <w:t xml:space="preserve">sprendimu </w:t>
      </w:r>
      <w:r w:rsidR="00A12CBA" w:rsidRPr="00A12CBA">
        <w:rPr>
          <w:rFonts w:ascii="Times New Roman" w:hAnsi="Times New Roman" w:cs="Times New Roman"/>
          <w:sz w:val="24"/>
          <w:szCs w:val="24"/>
        </w:rPr>
        <w:t>Nr. T-199</w:t>
      </w:r>
      <w:r w:rsidR="00A12CBA">
        <w:rPr>
          <w:rFonts w:ascii="Times New Roman" w:hAnsi="Times New Roman" w:cs="Times New Roman"/>
          <w:sz w:val="24"/>
          <w:szCs w:val="24"/>
        </w:rPr>
        <w:t xml:space="preserve"> </w:t>
      </w:r>
      <w:r w:rsidR="00F01208" w:rsidRPr="000746C7">
        <w:rPr>
          <w:rFonts w:ascii="Times New Roman" w:hAnsi="Times New Roman" w:cs="Times New Roman"/>
          <w:sz w:val="24"/>
          <w:szCs w:val="24"/>
        </w:rPr>
        <w:t>patvirtino Bendrojo ugdymo mokyklų tinklo pertvarkos 20</w:t>
      </w:r>
      <w:r w:rsidR="00912D12">
        <w:rPr>
          <w:rFonts w:ascii="Times New Roman" w:hAnsi="Times New Roman" w:cs="Times New Roman"/>
          <w:sz w:val="24"/>
          <w:szCs w:val="24"/>
        </w:rPr>
        <w:t>21</w:t>
      </w:r>
      <w:r w:rsidR="00D3047C">
        <w:rPr>
          <w:rFonts w:ascii="Times New Roman" w:hAnsi="Times New Roman" w:cs="Times New Roman"/>
          <w:sz w:val="24"/>
          <w:szCs w:val="24"/>
        </w:rPr>
        <w:t>–</w:t>
      </w:r>
      <w:r w:rsidR="00F01208" w:rsidRPr="000746C7">
        <w:rPr>
          <w:rFonts w:ascii="Times New Roman" w:hAnsi="Times New Roman" w:cs="Times New Roman"/>
          <w:sz w:val="24"/>
          <w:szCs w:val="24"/>
        </w:rPr>
        <w:t>20</w:t>
      </w:r>
      <w:r w:rsidR="00D3047C">
        <w:rPr>
          <w:rFonts w:ascii="Times New Roman" w:hAnsi="Times New Roman" w:cs="Times New Roman"/>
          <w:sz w:val="24"/>
          <w:szCs w:val="24"/>
        </w:rPr>
        <w:t>2</w:t>
      </w:r>
      <w:r w:rsidR="00912D12">
        <w:rPr>
          <w:rFonts w:ascii="Times New Roman" w:hAnsi="Times New Roman" w:cs="Times New Roman"/>
          <w:sz w:val="24"/>
          <w:szCs w:val="24"/>
        </w:rPr>
        <w:t>5</w:t>
      </w:r>
      <w:r w:rsidR="00D3047C">
        <w:rPr>
          <w:rFonts w:ascii="Times New Roman" w:hAnsi="Times New Roman" w:cs="Times New Roman"/>
          <w:sz w:val="24"/>
          <w:szCs w:val="24"/>
        </w:rPr>
        <w:t xml:space="preserve"> bendrąjį planą</w:t>
      </w:r>
      <w:r w:rsidR="00F01208" w:rsidRPr="000746C7">
        <w:rPr>
          <w:rFonts w:ascii="Times New Roman" w:hAnsi="Times New Roman" w:cs="Times New Roman"/>
          <w:sz w:val="24"/>
          <w:szCs w:val="24"/>
        </w:rPr>
        <w:t>.</w:t>
      </w:r>
      <w:r w:rsidR="00077001" w:rsidRPr="000746C7">
        <w:rPr>
          <w:rFonts w:ascii="Times New Roman" w:hAnsi="Times New Roman" w:cs="Times New Roman"/>
          <w:sz w:val="24"/>
          <w:szCs w:val="24"/>
        </w:rPr>
        <w:t xml:space="preserve"> </w:t>
      </w:r>
      <w:r w:rsidR="00A12CBA" w:rsidRPr="00A12CBA">
        <w:rPr>
          <w:rFonts w:ascii="Times New Roman" w:hAnsi="Times New Roman" w:cs="Times New Roman"/>
          <w:sz w:val="24"/>
          <w:szCs w:val="24"/>
        </w:rPr>
        <w:t>Joniškio rajono savivaldybės bendrojo ugdymo mokyklų tinklo pertvarkos 2021–2025 metų bendrasis planas</w:t>
      </w:r>
      <w:r w:rsidR="00A12CBA">
        <w:rPr>
          <w:rFonts w:ascii="Times New Roman" w:hAnsi="Times New Roman" w:cs="Times New Roman"/>
          <w:sz w:val="24"/>
          <w:szCs w:val="24"/>
        </w:rPr>
        <w:t xml:space="preserve"> </w:t>
      </w:r>
      <w:r w:rsidR="00A12CBA" w:rsidRPr="00A12CBA">
        <w:rPr>
          <w:rFonts w:ascii="Times New Roman" w:hAnsi="Times New Roman" w:cs="Times New Roman"/>
          <w:sz w:val="24"/>
          <w:szCs w:val="24"/>
        </w:rPr>
        <w:t xml:space="preserve">– tai strategija, kuria siekiama sukurti prieinamumo, efektyvumo ir kokybės reikalavimus atitinkantį mokyklų tinklą, turėti pakankamai pradinio, pagrindinio, vidurinio ugdymo programų teikėjų, sudaryti sąlygas visiems vietos bendruomenės nariams ugdytis pagal poreikius ir gebėjimus bei užtikrinti pedagoginę, psichologinę, specialiąją bei socialinę pedagoginę pagalbą. </w:t>
      </w:r>
    </w:p>
    <w:p w14:paraId="068D7BAE" w14:textId="552DE78D" w:rsidR="00F61DC9" w:rsidRDefault="00A12CBA" w:rsidP="00F26525">
      <w:pPr>
        <w:pStyle w:val="Betarp"/>
        <w:spacing w:line="276" w:lineRule="auto"/>
        <w:ind w:firstLine="1296"/>
        <w:jc w:val="both"/>
        <w:rPr>
          <w:rFonts w:ascii="Times New Roman" w:hAnsi="Times New Roman" w:cs="Times New Roman"/>
          <w:sz w:val="24"/>
          <w:szCs w:val="24"/>
        </w:rPr>
      </w:pPr>
      <w:r w:rsidRPr="00A12CBA">
        <w:rPr>
          <w:rFonts w:ascii="Times New Roman" w:hAnsi="Times New Roman" w:cs="Times New Roman"/>
          <w:sz w:val="24"/>
          <w:szCs w:val="24"/>
        </w:rPr>
        <w:t>Bendrasis planas skirtas ugdymo kokybės ir mokinių ugdymo(si) pasiekimų gerinimui, socialinės atskirties mažinimui, ugdymo prieinamumo užtikrinimui skirtingo amžiaus ir socialinių grupių asmenims pagal bendrojo ugdymo mokyklų formaliojo švietimo programas, mokyklų ekonomiškumo didinimui, sveikos ugdymosi aplinkos bei saugaus kelio į mokyklą užtikrinimui.</w:t>
      </w:r>
      <w:r w:rsidR="00F61DC9" w:rsidRPr="00F61DC9">
        <w:t xml:space="preserve"> </w:t>
      </w:r>
      <w:r w:rsidR="00F61DC9" w:rsidRPr="00F61DC9">
        <w:rPr>
          <w:rFonts w:ascii="Times New Roman" w:hAnsi="Times New Roman" w:cs="Times New Roman"/>
          <w:sz w:val="24"/>
          <w:szCs w:val="24"/>
        </w:rPr>
        <w:t xml:space="preserve">Bendrojo plano tikslas – sudaryti sąlygas plėtoti geros kokybės privalomąjį ir visuotinį švietimą, didinti jo prieinamumą už valstybei ir savivaldybei pakeliamą kainą, siekti, kad mokyklų tinklas būtų darniai veikianti, nuolat atsinaujinanti, švietimo programų įvairovę, jų prieinamumą užtikrinančių ir atsakomybe už švietimo kokybę besidalijančių švietimo įstaigų sistema. </w:t>
      </w:r>
    </w:p>
    <w:p w14:paraId="64DF6370" w14:textId="77777777" w:rsidR="00F26525" w:rsidRDefault="00F26525" w:rsidP="005E5CC8">
      <w:pPr>
        <w:pStyle w:val="Betarp"/>
        <w:spacing w:line="276" w:lineRule="auto"/>
        <w:jc w:val="both"/>
        <w:rPr>
          <w:rFonts w:ascii="Times New Roman" w:hAnsi="Times New Roman" w:cs="Times New Roman"/>
          <w:b/>
          <w:bCs/>
          <w:sz w:val="24"/>
          <w:szCs w:val="24"/>
        </w:rPr>
      </w:pPr>
    </w:p>
    <w:p w14:paraId="6D86C38B" w14:textId="5B0EE120" w:rsidR="00CC25CF" w:rsidRPr="001347AC" w:rsidRDefault="00F61DC9" w:rsidP="00F26525">
      <w:pPr>
        <w:pStyle w:val="Betarp"/>
        <w:spacing w:line="276" w:lineRule="auto"/>
        <w:jc w:val="both"/>
        <w:rPr>
          <w:rFonts w:ascii="Times New Roman" w:hAnsi="Times New Roman" w:cs="Times New Roman"/>
          <w:b/>
          <w:bCs/>
          <w:sz w:val="24"/>
          <w:szCs w:val="24"/>
        </w:rPr>
      </w:pPr>
      <w:r w:rsidRPr="001347AC">
        <w:rPr>
          <w:rFonts w:ascii="Times New Roman" w:hAnsi="Times New Roman" w:cs="Times New Roman"/>
          <w:b/>
          <w:bCs/>
          <w:sz w:val="24"/>
          <w:szCs w:val="24"/>
        </w:rPr>
        <w:t xml:space="preserve">Joniškio rajono švietimo </w:t>
      </w:r>
      <w:r w:rsidR="00E624F2" w:rsidRPr="001347AC">
        <w:rPr>
          <w:rFonts w:ascii="Times New Roman" w:hAnsi="Times New Roman" w:cs="Times New Roman"/>
          <w:b/>
          <w:bCs/>
          <w:sz w:val="24"/>
          <w:szCs w:val="24"/>
        </w:rPr>
        <w:t xml:space="preserve">artimiausio laikotarpio </w:t>
      </w:r>
      <w:r w:rsidRPr="001347AC">
        <w:rPr>
          <w:rFonts w:ascii="Times New Roman" w:hAnsi="Times New Roman" w:cs="Times New Roman"/>
          <w:b/>
          <w:bCs/>
          <w:sz w:val="24"/>
          <w:szCs w:val="24"/>
        </w:rPr>
        <w:t>prioritet</w:t>
      </w:r>
      <w:r w:rsidR="00E624F2" w:rsidRPr="001347AC">
        <w:rPr>
          <w:rFonts w:ascii="Times New Roman" w:hAnsi="Times New Roman" w:cs="Times New Roman"/>
          <w:b/>
          <w:bCs/>
          <w:sz w:val="24"/>
          <w:szCs w:val="24"/>
        </w:rPr>
        <w:t>inės kryptys:</w:t>
      </w:r>
    </w:p>
    <w:p w14:paraId="438E18D0" w14:textId="337940FA" w:rsidR="00E624F2" w:rsidRDefault="00E624F2" w:rsidP="00F61DC9">
      <w:pPr>
        <w:pStyle w:val="Betarp"/>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E624F2">
        <w:rPr>
          <w:rFonts w:ascii="Times New Roman" w:eastAsia="Calibri" w:hAnsi="Times New Roman" w:cs="Times New Roman"/>
          <w:sz w:val="24"/>
          <w:szCs w:val="24"/>
        </w:rPr>
        <w:t>Užtikrinti kokybišką ugdymo proceso organizavimą ir švietimo prieinamumą.</w:t>
      </w:r>
    </w:p>
    <w:p w14:paraId="1EB6B785" w14:textId="5CB6D1A1" w:rsidR="00F61DC9" w:rsidRPr="000746C7" w:rsidRDefault="00E624F2" w:rsidP="00F61DC9">
      <w:pPr>
        <w:pStyle w:val="Betarp"/>
        <w:spacing w:line="276" w:lineRule="auto"/>
        <w:jc w:val="both"/>
        <w:rPr>
          <w:rFonts w:ascii="Times New Roman" w:eastAsia="Calibri" w:hAnsi="Times New Roman" w:cs="Times New Roman"/>
          <w:sz w:val="24"/>
          <w:szCs w:val="24"/>
        </w:rPr>
      </w:pPr>
      <w:r w:rsidRPr="00E624F2">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Didinti</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ankstyvojo</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ikimokyklinio</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ir</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privalomojo</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ugdymo</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aprėptį,</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tėvų</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ir</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visuomenės</w:t>
      </w:r>
      <w:r>
        <w:rPr>
          <w:rFonts w:ascii="Times New Roman" w:eastAsia="Calibri" w:hAnsi="Times New Roman" w:cs="Times New Roman"/>
          <w:sz w:val="24"/>
          <w:szCs w:val="24"/>
        </w:rPr>
        <w:t xml:space="preserve"> </w:t>
      </w:r>
      <w:r w:rsidRPr="00E624F2">
        <w:rPr>
          <w:rFonts w:ascii="Times New Roman" w:eastAsia="Calibri" w:hAnsi="Times New Roman" w:cs="Times New Roman"/>
          <w:sz w:val="24"/>
          <w:szCs w:val="24"/>
        </w:rPr>
        <w:t>informuotumą.</w:t>
      </w:r>
    </w:p>
    <w:p w14:paraId="0DFC7D59" w14:textId="77777777" w:rsidR="00B6415B" w:rsidRPr="00DF3B65" w:rsidRDefault="00B6415B" w:rsidP="00F26525">
      <w:pPr>
        <w:pStyle w:val="Betarp"/>
        <w:spacing w:line="276" w:lineRule="auto"/>
        <w:ind w:firstLine="1296"/>
        <w:jc w:val="both"/>
        <w:rPr>
          <w:rFonts w:ascii="Times New Roman" w:hAnsi="Times New Roman" w:cs="Times New Roman"/>
          <w:sz w:val="24"/>
          <w:szCs w:val="24"/>
        </w:rPr>
      </w:pPr>
      <w:r w:rsidRPr="00DF3B65">
        <w:rPr>
          <w:rFonts w:ascii="Times New Roman" w:hAnsi="Times New Roman" w:cs="Times New Roman"/>
          <w:sz w:val="24"/>
          <w:szCs w:val="24"/>
        </w:rPr>
        <w:t>2021 metais dėl ekstremalios situacijos šalyje ir karantino dėl COVID-19 pandemijos Joniškio rajono savivaldybės administracija, švietimo įstaigos turėjo pertvarkyti savo veiklą vadovaudamiesi Lietuvos Respublikos Vyriausybės, Valstybės ekstremaliųjų situacijų operacijų centro priimtais sprendimais, Švietimo, mokslo ir sporto ministerijos (ŠMSM) dokumentais ir rekomendacijomis dėl nuotolinio mokymo organizavimo būdo, aplinkraščiais bei Savivaldybės ekstremalių situacijų operacijų vadovo rekomendacijomis. Tokia situacija turėjo įtakos rajono švietimo sektoriaus 2021 metams išsikeltų tikslų, uždavinių ir priemonių įgyvendinimui.</w:t>
      </w:r>
    </w:p>
    <w:p w14:paraId="714BD822" w14:textId="77777777" w:rsidR="00CC25CF" w:rsidRDefault="00CC25CF" w:rsidP="00CC25CF">
      <w:pPr>
        <w:pStyle w:val="Betarp"/>
        <w:spacing w:line="276" w:lineRule="auto"/>
        <w:rPr>
          <w:rFonts w:ascii="Times New Roman" w:eastAsia="Calibri" w:hAnsi="Times New Roman" w:cs="Times New Roman"/>
          <w:sz w:val="24"/>
          <w:szCs w:val="24"/>
        </w:rPr>
      </w:pPr>
    </w:p>
    <w:p w14:paraId="05AF90DC" w14:textId="77777777" w:rsidR="00CC25CF" w:rsidRDefault="00CC25CF" w:rsidP="00CC25CF">
      <w:pPr>
        <w:pStyle w:val="Betarp"/>
        <w:spacing w:line="276" w:lineRule="auto"/>
        <w:rPr>
          <w:rFonts w:ascii="Times New Roman" w:eastAsia="Calibri" w:hAnsi="Times New Roman" w:cs="Times New Roman"/>
          <w:b/>
          <w:sz w:val="24"/>
          <w:szCs w:val="24"/>
        </w:rPr>
      </w:pPr>
      <w:r w:rsidRPr="00CC25CF">
        <w:rPr>
          <w:rFonts w:ascii="Times New Roman" w:eastAsia="Calibri" w:hAnsi="Times New Roman" w:cs="Times New Roman"/>
          <w:b/>
          <w:sz w:val="24"/>
          <w:szCs w:val="24"/>
        </w:rPr>
        <w:t>Ugdytinių skaičius ugdymo įstaigose</w:t>
      </w:r>
    </w:p>
    <w:p w14:paraId="3B54E8D1" w14:textId="77777777" w:rsidR="0082166C" w:rsidRPr="00F26525" w:rsidRDefault="0082166C" w:rsidP="00F26525">
      <w:pPr>
        <w:pStyle w:val="Betarp"/>
        <w:jc w:val="both"/>
        <w:rPr>
          <w:rFonts w:ascii="Times New Roman" w:hAnsi="Times New Roman" w:cs="Times New Roman"/>
          <w:sz w:val="24"/>
          <w:szCs w:val="24"/>
        </w:rPr>
      </w:pPr>
    </w:p>
    <w:p w14:paraId="437469CD" w14:textId="3FB2682B" w:rsidR="00CC25CF" w:rsidRPr="00F26525" w:rsidRDefault="00CC25CF" w:rsidP="00F43C0E">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 xml:space="preserve">Besikeičianti demografinė padėtis rajone, šalies vidaus ir išorės migracija,  ikimokyklinio amžiaus vaikų ir mokinių skaičiaus kaita, turi įtakos </w:t>
      </w:r>
      <w:r w:rsidR="00F43C0E">
        <w:rPr>
          <w:rFonts w:ascii="Times New Roman" w:hAnsi="Times New Roman" w:cs="Times New Roman"/>
          <w:sz w:val="24"/>
          <w:szCs w:val="24"/>
        </w:rPr>
        <w:t>mokinių skaičiui</w:t>
      </w:r>
      <w:r w:rsidRPr="00F26525">
        <w:rPr>
          <w:rFonts w:ascii="Times New Roman" w:hAnsi="Times New Roman" w:cs="Times New Roman"/>
          <w:sz w:val="24"/>
          <w:szCs w:val="24"/>
        </w:rPr>
        <w:t xml:space="preserve"> bendrojo ugdymo mokyklose.</w:t>
      </w:r>
      <w:r w:rsidR="00F26525">
        <w:rPr>
          <w:rFonts w:ascii="Times New Roman" w:hAnsi="Times New Roman" w:cs="Times New Roman"/>
          <w:sz w:val="24"/>
          <w:szCs w:val="24"/>
        </w:rPr>
        <w:t xml:space="preserve"> </w:t>
      </w:r>
      <w:r w:rsidRPr="00F26525">
        <w:rPr>
          <w:rFonts w:ascii="Times New Roman" w:hAnsi="Times New Roman" w:cs="Times New Roman"/>
          <w:sz w:val="24"/>
          <w:szCs w:val="24"/>
        </w:rPr>
        <w:t xml:space="preserve"> </w:t>
      </w:r>
      <w:r w:rsidR="00F43C0E">
        <w:rPr>
          <w:rFonts w:ascii="Times New Roman" w:hAnsi="Times New Roman" w:cs="Times New Roman"/>
          <w:sz w:val="24"/>
          <w:szCs w:val="24"/>
        </w:rPr>
        <w:t>20</w:t>
      </w:r>
      <w:r w:rsidR="0042112D">
        <w:rPr>
          <w:rFonts w:ascii="Times New Roman" w:hAnsi="Times New Roman" w:cs="Times New Roman"/>
          <w:sz w:val="24"/>
          <w:szCs w:val="24"/>
        </w:rPr>
        <w:t>20–2021 m. m. r</w:t>
      </w:r>
      <w:r w:rsidR="00F43C0E">
        <w:rPr>
          <w:rFonts w:ascii="Times New Roman" w:hAnsi="Times New Roman" w:cs="Times New Roman"/>
          <w:sz w:val="24"/>
          <w:szCs w:val="24"/>
        </w:rPr>
        <w:t>ajono bendrojo ugdymo įstaigose mokėsi</w:t>
      </w:r>
      <w:r w:rsidR="00F43C0E" w:rsidRPr="00F43C0E">
        <w:rPr>
          <w:rFonts w:ascii="Times New Roman" w:hAnsi="Times New Roman" w:cs="Times New Roman"/>
          <w:sz w:val="24"/>
          <w:szCs w:val="24"/>
        </w:rPr>
        <w:t xml:space="preserve"> 2103 moksleiviai, iš jų 2063 bendrosiose klasėse, 40 priešmokyklinio ugdymo grupėse. „Aušros" gimnazijos Suaugusiųjų mokymo skyriuje mok</w:t>
      </w:r>
      <w:r w:rsidR="00F43C0E">
        <w:rPr>
          <w:rFonts w:ascii="Times New Roman" w:hAnsi="Times New Roman" w:cs="Times New Roman"/>
          <w:sz w:val="24"/>
          <w:szCs w:val="24"/>
        </w:rPr>
        <w:t>ė</w:t>
      </w:r>
      <w:r w:rsidR="00F43C0E" w:rsidRPr="00F43C0E">
        <w:rPr>
          <w:rFonts w:ascii="Times New Roman" w:hAnsi="Times New Roman" w:cs="Times New Roman"/>
          <w:sz w:val="24"/>
          <w:szCs w:val="24"/>
        </w:rPr>
        <w:t>si 37 mokiniai.</w:t>
      </w:r>
      <w:r w:rsidR="00F43C0E">
        <w:rPr>
          <w:rFonts w:ascii="Times New Roman" w:hAnsi="Times New Roman" w:cs="Times New Roman"/>
          <w:sz w:val="24"/>
          <w:szCs w:val="24"/>
        </w:rPr>
        <w:t xml:space="preserve"> </w:t>
      </w:r>
      <w:r w:rsidR="00F43C0E" w:rsidRPr="00F43C0E">
        <w:rPr>
          <w:rFonts w:ascii="Times New Roman" w:hAnsi="Times New Roman" w:cs="Times New Roman"/>
          <w:sz w:val="24"/>
          <w:szCs w:val="24"/>
        </w:rPr>
        <w:t>Ikimokyklines įstaigas lank</w:t>
      </w:r>
      <w:r w:rsidR="00F43C0E">
        <w:rPr>
          <w:rFonts w:ascii="Times New Roman" w:hAnsi="Times New Roman" w:cs="Times New Roman"/>
          <w:sz w:val="24"/>
          <w:szCs w:val="24"/>
        </w:rPr>
        <w:t>ė</w:t>
      </w:r>
      <w:r w:rsidR="00F43C0E" w:rsidRPr="00F43C0E">
        <w:rPr>
          <w:rFonts w:ascii="Times New Roman" w:hAnsi="Times New Roman" w:cs="Times New Roman"/>
          <w:sz w:val="24"/>
          <w:szCs w:val="24"/>
        </w:rPr>
        <w:t xml:space="preserve"> 492 </w:t>
      </w:r>
      <w:r w:rsidR="00F43C0E" w:rsidRPr="00F43C0E">
        <w:rPr>
          <w:rFonts w:ascii="Times New Roman" w:hAnsi="Times New Roman" w:cs="Times New Roman"/>
          <w:sz w:val="24"/>
          <w:szCs w:val="24"/>
        </w:rPr>
        <w:lastRenderedPageBreak/>
        <w:t xml:space="preserve">vaikai. Iš jų priešmokyklinio ugdymo grupėse </w:t>
      </w:r>
      <w:r w:rsidR="00F43C0E">
        <w:rPr>
          <w:rFonts w:ascii="Times New Roman" w:hAnsi="Times New Roman" w:cs="Times New Roman"/>
          <w:sz w:val="24"/>
          <w:szCs w:val="24"/>
        </w:rPr>
        <w:t xml:space="preserve">buvo ugdoma </w:t>
      </w:r>
      <w:r w:rsidR="00F43C0E" w:rsidRPr="00F43C0E">
        <w:rPr>
          <w:rFonts w:ascii="Times New Roman" w:hAnsi="Times New Roman" w:cs="Times New Roman"/>
          <w:sz w:val="24"/>
          <w:szCs w:val="24"/>
        </w:rPr>
        <w:t>100</w:t>
      </w:r>
      <w:r w:rsidR="00F43C0E">
        <w:rPr>
          <w:rFonts w:ascii="Times New Roman" w:hAnsi="Times New Roman" w:cs="Times New Roman"/>
          <w:sz w:val="24"/>
          <w:szCs w:val="24"/>
        </w:rPr>
        <w:t>, i</w:t>
      </w:r>
      <w:r w:rsidR="00F43C0E" w:rsidRPr="00F43C0E">
        <w:rPr>
          <w:rFonts w:ascii="Times New Roman" w:hAnsi="Times New Roman" w:cs="Times New Roman"/>
          <w:sz w:val="24"/>
          <w:szCs w:val="24"/>
        </w:rPr>
        <w:t>kimokyklinio ugdymo skyrius lank</w:t>
      </w:r>
      <w:r w:rsidR="00F43C0E">
        <w:rPr>
          <w:rFonts w:ascii="Times New Roman" w:hAnsi="Times New Roman" w:cs="Times New Roman"/>
          <w:sz w:val="24"/>
          <w:szCs w:val="24"/>
        </w:rPr>
        <w:t>ė</w:t>
      </w:r>
      <w:r w:rsidR="00F43C0E" w:rsidRPr="00F43C0E">
        <w:rPr>
          <w:rFonts w:ascii="Times New Roman" w:hAnsi="Times New Roman" w:cs="Times New Roman"/>
          <w:sz w:val="24"/>
          <w:szCs w:val="24"/>
        </w:rPr>
        <w:t xml:space="preserve"> 130 vaikų. Neformaliojo ugdymo įstaigose </w:t>
      </w:r>
      <w:r w:rsidR="00F43C0E">
        <w:rPr>
          <w:rFonts w:ascii="Times New Roman" w:hAnsi="Times New Roman" w:cs="Times New Roman"/>
          <w:sz w:val="24"/>
          <w:szCs w:val="24"/>
        </w:rPr>
        <w:t>buvo ugdomi</w:t>
      </w:r>
      <w:r w:rsidR="00F43C0E" w:rsidRPr="00F43C0E">
        <w:rPr>
          <w:rFonts w:ascii="Times New Roman" w:hAnsi="Times New Roman" w:cs="Times New Roman"/>
          <w:sz w:val="24"/>
          <w:szCs w:val="24"/>
        </w:rPr>
        <w:t xml:space="preserve"> 837 moksleiviai: Sporto centre </w:t>
      </w:r>
      <w:r w:rsidR="00F43C0E">
        <w:rPr>
          <w:rFonts w:ascii="Times New Roman" w:hAnsi="Times New Roman" w:cs="Times New Roman"/>
          <w:sz w:val="24"/>
          <w:szCs w:val="24"/>
        </w:rPr>
        <w:t>–</w:t>
      </w:r>
      <w:r w:rsidR="00F43C0E" w:rsidRPr="00F43C0E">
        <w:rPr>
          <w:rFonts w:ascii="Times New Roman" w:hAnsi="Times New Roman" w:cs="Times New Roman"/>
          <w:sz w:val="24"/>
          <w:szCs w:val="24"/>
        </w:rPr>
        <w:t xml:space="preserve"> 459 moksleiviai, Meno mokykloje </w:t>
      </w:r>
      <w:r w:rsidR="00F43C0E">
        <w:rPr>
          <w:rFonts w:ascii="Times New Roman" w:hAnsi="Times New Roman" w:cs="Times New Roman"/>
          <w:sz w:val="24"/>
          <w:szCs w:val="24"/>
        </w:rPr>
        <w:t>–</w:t>
      </w:r>
      <w:r w:rsidR="00F43C0E" w:rsidRPr="00F43C0E">
        <w:rPr>
          <w:rFonts w:ascii="Times New Roman" w:hAnsi="Times New Roman" w:cs="Times New Roman"/>
          <w:sz w:val="24"/>
          <w:szCs w:val="24"/>
        </w:rPr>
        <w:t xml:space="preserve"> 378.</w:t>
      </w:r>
    </w:p>
    <w:p w14:paraId="0E288305" w14:textId="7C435F78" w:rsidR="00FC7CF3" w:rsidRPr="00F26525" w:rsidRDefault="00FC7CF3" w:rsidP="00062720">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2021–2022 mokslo metais rajone mokosi 2041 mokinys, iš jų 2005 mokosi bendrosiose klasėse, 36 priešmokyklinio ugdymo grupėse. „Aušros" gimnazijos Suaugusiųjų mokymo skyriuje mokosi 34 mokiniai.</w:t>
      </w:r>
      <w:r w:rsidR="00F26525">
        <w:rPr>
          <w:rFonts w:ascii="Times New Roman" w:hAnsi="Times New Roman" w:cs="Times New Roman"/>
          <w:sz w:val="24"/>
          <w:szCs w:val="24"/>
        </w:rPr>
        <w:t xml:space="preserve"> </w:t>
      </w:r>
      <w:r w:rsidR="00B85D22">
        <w:rPr>
          <w:rFonts w:ascii="Times New Roman" w:hAnsi="Times New Roman" w:cs="Times New Roman"/>
          <w:sz w:val="24"/>
          <w:szCs w:val="24"/>
        </w:rPr>
        <w:t xml:space="preserve">Mokinių skaičius bendrojo ugdymo įstaigose 2021 m. šiek tiek sumažėjo (58 mokiniais). </w:t>
      </w:r>
      <w:r w:rsidRPr="00F26525">
        <w:rPr>
          <w:rFonts w:ascii="Times New Roman" w:hAnsi="Times New Roman" w:cs="Times New Roman"/>
          <w:sz w:val="24"/>
          <w:szCs w:val="24"/>
        </w:rPr>
        <w:t xml:space="preserve">Ikimokyklines įstaigas lanko 466 vaikai. Iš jų priešmokyklinio ugdymo grupėse </w:t>
      </w:r>
      <w:r w:rsidR="00F26525">
        <w:rPr>
          <w:rFonts w:ascii="Times New Roman" w:hAnsi="Times New Roman" w:cs="Times New Roman"/>
          <w:sz w:val="24"/>
          <w:szCs w:val="24"/>
        </w:rPr>
        <w:t xml:space="preserve">ugdomas </w:t>
      </w:r>
      <w:r w:rsidRPr="00F26525">
        <w:rPr>
          <w:rFonts w:ascii="Times New Roman" w:hAnsi="Times New Roman" w:cs="Times New Roman"/>
          <w:sz w:val="24"/>
          <w:szCs w:val="24"/>
        </w:rPr>
        <w:t>131</w:t>
      </w:r>
      <w:r w:rsidR="00F26525">
        <w:rPr>
          <w:rFonts w:ascii="Times New Roman" w:hAnsi="Times New Roman" w:cs="Times New Roman"/>
          <w:sz w:val="24"/>
          <w:szCs w:val="24"/>
        </w:rPr>
        <w:t xml:space="preserve"> vaikas</w:t>
      </w:r>
      <w:r w:rsidRPr="00F26525">
        <w:rPr>
          <w:rFonts w:ascii="Times New Roman" w:hAnsi="Times New Roman" w:cs="Times New Roman"/>
          <w:sz w:val="24"/>
          <w:szCs w:val="24"/>
        </w:rPr>
        <w:t>.</w:t>
      </w:r>
      <w:r w:rsidR="00AE13D2">
        <w:rPr>
          <w:rFonts w:ascii="Times New Roman" w:hAnsi="Times New Roman" w:cs="Times New Roman"/>
          <w:sz w:val="24"/>
          <w:szCs w:val="24"/>
        </w:rPr>
        <w:t xml:space="preserve"> </w:t>
      </w:r>
      <w:r w:rsidRPr="00F26525">
        <w:rPr>
          <w:rFonts w:ascii="Times New Roman" w:hAnsi="Times New Roman" w:cs="Times New Roman"/>
          <w:sz w:val="24"/>
          <w:szCs w:val="24"/>
        </w:rPr>
        <w:t xml:space="preserve">Ikimokyklinio ugdymo skyrius lanko 134 vaikai. Neformaliojo ugdymo įstaigose ugdomi 837 moksleiviai: Sporto centre </w:t>
      </w:r>
      <w:r w:rsidR="00AE13D2">
        <w:rPr>
          <w:rFonts w:ascii="Times New Roman" w:hAnsi="Times New Roman" w:cs="Times New Roman"/>
          <w:sz w:val="24"/>
          <w:szCs w:val="24"/>
        </w:rPr>
        <w:t>–</w:t>
      </w:r>
      <w:r w:rsidRPr="00F26525">
        <w:rPr>
          <w:rFonts w:ascii="Times New Roman" w:hAnsi="Times New Roman" w:cs="Times New Roman"/>
          <w:sz w:val="24"/>
          <w:szCs w:val="24"/>
        </w:rPr>
        <w:t xml:space="preserve"> 455 moksleiviai, </w:t>
      </w:r>
      <w:r w:rsidR="00AE13D2">
        <w:rPr>
          <w:rFonts w:ascii="Times New Roman" w:hAnsi="Times New Roman" w:cs="Times New Roman"/>
          <w:sz w:val="24"/>
          <w:szCs w:val="24"/>
        </w:rPr>
        <w:t>Algimanto Raudonikio m</w:t>
      </w:r>
      <w:r w:rsidRPr="00F26525">
        <w:rPr>
          <w:rFonts w:ascii="Times New Roman" w:hAnsi="Times New Roman" w:cs="Times New Roman"/>
          <w:sz w:val="24"/>
          <w:szCs w:val="24"/>
        </w:rPr>
        <w:t xml:space="preserve">eno mokykloje </w:t>
      </w:r>
      <w:r w:rsidR="00AE13D2">
        <w:rPr>
          <w:rFonts w:ascii="Times New Roman" w:hAnsi="Times New Roman" w:cs="Times New Roman"/>
          <w:sz w:val="24"/>
          <w:szCs w:val="24"/>
        </w:rPr>
        <w:t>–</w:t>
      </w:r>
      <w:r w:rsidRPr="00F26525">
        <w:rPr>
          <w:rFonts w:ascii="Times New Roman" w:hAnsi="Times New Roman" w:cs="Times New Roman"/>
          <w:sz w:val="24"/>
          <w:szCs w:val="24"/>
        </w:rPr>
        <w:t xml:space="preserve"> 382.</w:t>
      </w:r>
    </w:p>
    <w:p w14:paraId="31FCFF0B" w14:textId="77777777" w:rsidR="00AE13D2" w:rsidRDefault="00AE13D2" w:rsidP="00F26525">
      <w:pPr>
        <w:pStyle w:val="Betarp"/>
        <w:spacing w:line="276" w:lineRule="auto"/>
        <w:jc w:val="both"/>
        <w:rPr>
          <w:rFonts w:ascii="Times New Roman" w:hAnsi="Times New Roman" w:cs="Times New Roman"/>
          <w:sz w:val="24"/>
          <w:szCs w:val="24"/>
        </w:rPr>
      </w:pPr>
    </w:p>
    <w:p w14:paraId="5DAB4F00" w14:textId="08DA14FF" w:rsidR="00AE13D2" w:rsidRPr="00AE13D2" w:rsidRDefault="00AE13D2" w:rsidP="00F26525">
      <w:pPr>
        <w:pStyle w:val="Betarp"/>
        <w:spacing w:line="276" w:lineRule="auto"/>
        <w:jc w:val="both"/>
        <w:rPr>
          <w:rFonts w:ascii="Times New Roman" w:hAnsi="Times New Roman" w:cs="Times New Roman"/>
          <w:b/>
          <w:bCs/>
          <w:sz w:val="24"/>
          <w:szCs w:val="24"/>
        </w:rPr>
      </w:pPr>
      <w:r w:rsidRPr="00AE13D2">
        <w:rPr>
          <w:rFonts w:ascii="Times New Roman" w:hAnsi="Times New Roman" w:cs="Times New Roman"/>
          <w:b/>
          <w:bCs/>
          <w:sz w:val="24"/>
          <w:szCs w:val="24"/>
        </w:rPr>
        <w:t xml:space="preserve">Pedagogų skaičius ugdymo įstaigose </w:t>
      </w:r>
    </w:p>
    <w:p w14:paraId="3FB0C590" w14:textId="31641E27" w:rsidR="00FC7CF3" w:rsidRPr="00F26525" w:rsidRDefault="00FC7CF3"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2020–2021 m. m. rajone dirbo 397 pedagogai. Iš jų</w:t>
      </w:r>
    </w:p>
    <w:p w14:paraId="7B9808E4" w14:textId="77777777" w:rsidR="00FC7CF3" w:rsidRPr="00F26525" w:rsidRDefault="00FC7CF3" w:rsidP="00AE13D2">
      <w:pPr>
        <w:pStyle w:val="Betarp"/>
        <w:numPr>
          <w:ilvl w:val="0"/>
          <w:numId w:val="12"/>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Bendrojo ugdymo mokyklose – 278;</w:t>
      </w:r>
    </w:p>
    <w:p w14:paraId="1299FC08" w14:textId="77777777" w:rsidR="00FC7CF3" w:rsidRPr="00F26525" w:rsidRDefault="00FC7CF3" w:rsidP="00AE13D2">
      <w:pPr>
        <w:pStyle w:val="Betarp"/>
        <w:numPr>
          <w:ilvl w:val="0"/>
          <w:numId w:val="12"/>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Joniškio sporto centre – 154;</w:t>
      </w:r>
    </w:p>
    <w:p w14:paraId="4D6169B9" w14:textId="77777777" w:rsidR="00FC7CF3" w:rsidRPr="00F26525" w:rsidRDefault="00FC7CF3" w:rsidP="00AE13D2">
      <w:pPr>
        <w:pStyle w:val="Betarp"/>
        <w:numPr>
          <w:ilvl w:val="0"/>
          <w:numId w:val="12"/>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Joniškio Algimanto Raudonikio meno mokykloje – 29;</w:t>
      </w:r>
    </w:p>
    <w:p w14:paraId="2D21AC82" w14:textId="7A1C3380" w:rsidR="00FC7CF3" w:rsidRPr="00F26525" w:rsidRDefault="00FC7CF3" w:rsidP="00AE13D2">
      <w:pPr>
        <w:pStyle w:val="Betarp"/>
        <w:numPr>
          <w:ilvl w:val="0"/>
          <w:numId w:val="12"/>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Vaikų lopšeliuose-darželiuose – 75;</w:t>
      </w:r>
    </w:p>
    <w:p w14:paraId="7FE3C9F2" w14:textId="3138E2B4" w:rsidR="00FC7CF3" w:rsidRPr="00F26525" w:rsidRDefault="00FC7CF3" w:rsidP="00AE13D2">
      <w:pPr>
        <w:pStyle w:val="Betarp"/>
        <w:numPr>
          <w:ilvl w:val="0"/>
          <w:numId w:val="12"/>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NVŠ laisvieji mokytojai – 14</w:t>
      </w:r>
      <w:r w:rsidR="00AE13D2">
        <w:rPr>
          <w:rFonts w:ascii="Times New Roman" w:hAnsi="Times New Roman" w:cs="Times New Roman"/>
          <w:sz w:val="24"/>
          <w:szCs w:val="24"/>
        </w:rPr>
        <w:t>.</w:t>
      </w:r>
    </w:p>
    <w:p w14:paraId="559AF4AF" w14:textId="7A5DD8CF" w:rsidR="00FC7CF3" w:rsidRPr="00F26525" w:rsidRDefault="00FC7CF3"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Joniškio rajono švietimo centre dirb</w:t>
      </w:r>
      <w:r w:rsidR="00AE13D2">
        <w:rPr>
          <w:rFonts w:ascii="Times New Roman" w:hAnsi="Times New Roman" w:cs="Times New Roman"/>
          <w:sz w:val="24"/>
          <w:szCs w:val="24"/>
        </w:rPr>
        <w:t>o</w:t>
      </w:r>
      <w:r w:rsidRPr="00F26525">
        <w:rPr>
          <w:rFonts w:ascii="Times New Roman" w:hAnsi="Times New Roman" w:cs="Times New Roman"/>
          <w:sz w:val="24"/>
          <w:szCs w:val="24"/>
        </w:rPr>
        <w:t xml:space="preserve"> 3 metodininkai, 4 psichologai, 2 specialieji pedagogai, logopedas, socialinis pedagogas, neurologas;</w:t>
      </w:r>
    </w:p>
    <w:p w14:paraId="3089FD3C" w14:textId="77777777" w:rsidR="00FC7CF3" w:rsidRPr="00F26525" w:rsidRDefault="00FC7CF3" w:rsidP="00F26525">
      <w:pPr>
        <w:pStyle w:val="Betarp"/>
        <w:spacing w:line="276" w:lineRule="auto"/>
        <w:jc w:val="both"/>
        <w:rPr>
          <w:rFonts w:ascii="Times New Roman" w:hAnsi="Times New Roman" w:cs="Times New Roman"/>
          <w:sz w:val="24"/>
          <w:szCs w:val="24"/>
        </w:rPr>
      </w:pPr>
    </w:p>
    <w:p w14:paraId="4825A7D5" w14:textId="63610B1B" w:rsidR="00FC7CF3" w:rsidRPr="00F26525" w:rsidRDefault="00FC7CF3"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2021–2022 m. m. rajone dirba 386 pedagogai. Iš jų:</w:t>
      </w:r>
    </w:p>
    <w:p w14:paraId="67A4614E" w14:textId="245182E2" w:rsidR="00FC7CF3" w:rsidRPr="00F26525" w:rsidRDefault="00FC7CF3" w:rsidP="00AE13D2">
      <w:pPr>
        <w:pStyle w:val="Betarp"/>
        <w:numPr>
          <w:ilvl w:val="0"/>
          <w:numId w:val="13"/>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Bendrojo ugdymo mokyklose – 266</w:t>
      </w:r>
      <w:r w:rsidR="00AE13D2">
        <w:rPr>
          <w:rFonts w:ascii="Times New Roman" w:hAnsi="Times New Roman" w:cs="Times New Roman"/>
          <w:sz w:val="24"/>
          <w:szCs w:val="24"/>
        </w:rPr>
        <w:t>;</w:t>
      </w:r>
    </w:p>
    <w:p w14:paraId="2835DFC1" w14:textId="1730148A" w:rsidR="00FC7CF3" w:rsidRPr="00F26525" w:rsidRDefault="00FC7CF3" w:rsidP="00AE13D2">
      <w:pPr>
        <w:pStyle w:val="Betarp"/>
        <w:numPr>
          <w:ilvl w:val="0"/>
          <w:numId w:val="13"/>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Sporto centre – 16 (su dirbančiais antraeilėse pareigose – 24)</w:t>
      </w:r>
      <w:r w:rsidR="00AE13D2">
        <w:rPr>
          <w:rFonts w:ascii="Times New Roman" w:hAnsi="Times New Roman" w:cs="Times New Roman"/>
          <w:sz w:val="24"/>
          <w:szCs w:val="24"/>
        </w:rPr>
        <w:t>;</w:t>
      </w:r>
      <w:r w:rsidRPr="00F26525">
        <w:rPr>
          <w:rFonts w:ascii="Times New Roman" w:hAnsi="Times New Roman" w:cs="Times New Roman"/>
          <w:sz w:val="24"/>
          <w:szCs w:val="24"/>
        </w:rPr>
        <w:t xml:space="preserve"> </w:t>
      </w:r>
    </w:p>
    <w:p w14:paraId="35D5B09A" w14:textId="0B3C5731" w:rsidR="00FC7CF3" w:rsidRPr="00F26525" w:rsidRDefault="00FC7CF3" w:rsidP="00AE13D2">
      <w:pPr>
        <w:pStyle w:val="Betarp"/>
        <w:numPr>
          <w:ilvl w:val="0"/>
          <w:numId w:val="13"/>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Meno mokykloje –30 (su dirbančiais antraeilėse pareigose – 32)</w:t>
      </w:r>
      <w:r w:rsidR="00AE13D2">
        <w:rPr>
          <w:rFonts w:ascii="Times New Roman" w:hAnsi="Times New Roman" w:cs="Times New Roman"/>
          <w:sz w:val="24"/>
          <w:szCs w:val="24"/>
        </w:rPr>
        <w:t>;</w:t>
      </w:r>
      <w:r w:rsidRPr="00F26525">
        <w:rPr>
          <w:rFonts w:ascii="Times New Roman" w:hAnsi="Times New Roman" w:cs="Times New Roman"/>
          <w:sz w:val="24"/>
          <w:szCs w:val="24"/>
        </w:rPr>
        <w:t xml:space="preserve"> </w:t>
      </w:r>
    </w:p>
    <w:p w14:paraId="61E4D457" w14:textId="77777777" w:rsidR="00FC7CF3" w:rsidRPr="00F26525" w:rsidRDefault="00FC7CF3" w:rsidP="00AE13D2">
      <w:pPr>
        <w:pStyle w:val="Betarp"/>
        <w:numPr>
          <w:ilvl w:val="0"/>
          <w:numId w:val="13"/>
        </w:numPr>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Darželiuose – 74 (su dirbančiais antraeilėse pareigose – 81).</w:t>
      </w:r>
    </w:p>
    <w:p w14:paraId="56B7DA32" w14:textId="77777777" w:rsidR="001347AC" w:rsidRPr="00F26525" w:rsidRDefault="00FC7CF3" w:rsidP="00F26525">
      <w:pPr>
        <w:pStyle w:val="Betarp"/>
        <w:spacing w:line="276" w:lineRule="auto"/>
        <w:jc w:val="both"/>
        <w:rPr>
          <w:rFonts w:ascii="Times New Roman" w:hAnsi="Times New Roman" w:cs="Times New Roman"/>
          <w:sz w:val="24"/>
          <w:szCs w:val="24"/>
        </w:rPr>
      </w:pPr>
      <w:r w:rsidRPr="00F26525">
        <w:rPr>
          <w:rFonts w:ascii="Times New Roman" w:hAnsi="Times New Roman" w:cs="Times New Roman"/>
          <w:sz w:val="24"/>
          <w:szCs w:val="24"/>
        </w:rPr>
        <w:t xml:space="preserve">Joniškio rajono švietimo centre dirba 3 metodininkai, 4 psichologai, 2 specialieji pedagogai, logopedas ir socialinis pedagogas. </w:t>
      </w:r>
    </w:p>
    <w:p w14:paraId="4992F677" w14:textId="46A5D820" w:rsidR="00FC7CF3" w:rsidRPr="00F26525" w:rsidRDefault="001347AC" w:rsidP="00AE13D2">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 xml:space="preserve">2019–2020 m. m. rajono bendrojo ugdymo įstaigose dirbo 46,19 proc. Aukštos kvalifikacijos mokytojų (ekspertų ir mokytojų metodininkų). Šis skaičius 2020–2021 m. m. šiek tiek sumažėjo ir sudarė 45,45 proc. visų bendrojo ugdymo mokyklose dirbančių pedagogų. </w:t>
      </w:r>
      <w:r w:rsidR="00F7037C" w:rsidRPr="00F26525">
        <w:rPr>
          <w:rFonts w:ascii="Times New Roman" w:hAnsi="Times New Roman" w:cs="Times New Roman"/>
          <w:sz w:val="24"/>
          <w:szCs w:val="24"/>
        </w:rPr>
        <w:t xml:space="preserve">Mokytojų skaičius rajono ugdymo įstaigose mažėja. </w:t>
      </w:r>
      <w:r w:rsidR="00950566" w:rsidRPr="00F26525">
        <w:rPr>
          <w:rFonts w:ascii="Times New Roman" w:hAnsi="Times New Roman" w:cs="Times New Roman"/>
          <w:sz w:val="24"/>
          <w:szCs w:val="24"/>
        </w:rPr>
        <w:t xml:space="preserve">Ugdymo įstaigose dirba daug aukštos kvalifikacijos mokytojų. </w:t>
      </w:r>
    </w:p>
    <w:p w14:paraId="511F8B45" w14:textId="5F4A2156" w:rsidR="00C4499B" w:rsidRPr="00F26525" w:rsidRDefault="00C4499B" w:rsidP="00AE13D2">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 xml:space="preserve">Pagal ŠVIS  duomenis, 2019–2020 m. m. vienam mokytojui tenkančių mokinių (su priešmokykliniu ugdymu) skaičius buvo 9,73, o 2020–2021 m. m. vienam mokytojui teko 9,53 mokinio. </w:t>
      </w:r>
      <w:r w:rsidR="00DA3297" w:rsidRPr="00F26525">
        <w:rPr>
          <w:rFonts w:ascii="Times New Roman" w:hAnsi="Times New Roman" w:cs="Times New Roman"/>
          <w:sz w:val="24"/>
          <w:szCs w:val="24"/>
        </w:rPr>
        <w:t xml:space="preserve">Vienam mokytojui tenkančių mokinių skaičius nežymiai mažėjo. </w:t>
      </w:r>
    </w:p>
    <w:p w14:paraId="20570177" w14:textId="0DC61268" w:rsidR="008124B3" w:rsidRPr="00F26525" w:rsidRDefault="008124B3" w:rsidP="00AE13D2">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 xml:space="preserve">Mokytojų, dirbančių vienu etatu ir daugiau, 2019–2020 m. m. buvo 31,39 procentų nuo visų mokyklose dirbančių mokytojų, o 2020–2021 m. m. šis rodiklis sudarė 36,36 procento. Darytina išvada, kad daugėja mokytojų, dirbančių vienu etatu ir daugiau. </w:t>
      </w:r>
    </w:p>
    <w:p w14:paraId="02BCE0E6" w14:textId="7A3A0F38" w:rsidR="00A06D29" w:rsidRPr="00F26525" w:rsidRDefault="00A06D29" w:rsidP="00AE13D2">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t xml:space="preserve">Pagal ŠVIS pateikiamus duomenis, 2019–2020 m. m. vienam specialiąją pedagoginę ir/ar specialiąją pagalbą teikiančiam specialistui  (specialiajam pedagogui, logopedui) tenkančių specialiųjų ugdymosi poreikių turinčių mokinių skaičius rajono ugdymo įstaigose sudarė 42,43 mokinio, o 2020–2021 m. m. šis skaičius sumažėjo ir sudarė 39,94 mokinio. </w:t>
      </w:r>
      <w:r w:rsidR="00B10A95" w:rsidRPr="00F26525">
        <w:rPr>
          <w:rFonts w:ascii="Times New Roman" w:hAnsi="Times New Roman" w:cs="Times New Roman"/>
          <w:sz w:val="24"/>
          <w:szCs w:val="24"/>
        </w:rPr>
        <w:t xml:space="preserve">Nei specialiojo pedagogo, nei logopedo neturi tik viena rajono bendrojo ugdymo mokykla – „Aušros“ gimnazija, kur nėra tokio švietimo pagalbos specialisto poreikio. </w:t>
      </w:r>
    </w:p>
    <w:p w14:paraId="2066D29A" w14:textId="13DB760B" w:rsidR="00CA3686" w:rsidRPr="00F26525" w:rsidRDefault="00CA3686" w:rsidP="00AE13D2">
      <w:pPr>
        <w:pStyle w:val="Betarp"/>
        <w:spacing w:line="276" w:lineRule="auto"/>
        <w:ind w:firstLine="1296"/>
        <w:jc w:val="both"/>
        <w:rPr>
          <w:rFonts w:ascii="Times New Roman" w:hAnsi="Times New Roman" w:cs="Times New Roman"/>
          <w:sz w:val="24"/>
          <w:szCs w:val="24"/>
        </w:rPr>
      </w:pPr>
      <w:r w:rsidRPr="00F26525">
        <w:rPr>
          <w:rFonts w:ascii="Times New Roman" w:hAnsi="Times New Roman" w:cs="Times New Roman"/>
          <w:sz w:val="24"/>
          <w:szCs w:val="24"/>
        </w:rPr>
        <w:lastRenderedPageBreak/>
        <w:t xml:space="preserve">2019–2020 m. m. šimtui mokinių teko 0,99 švietimo pagalbos specialisto, o 2020–2021 m. m. šis rodiklis siekė 0,97 švietimo pagalbos specialisto 100 mokinių.  Rodiklis nežymiai sumažėjo. </w:t>
      </w:r>
    </w:p>
    <w:p w14:paraId="5ACD2DF9" w14:textId="77777777" w:rsidR="00C4499B" w:rsidRDefault="00C4499B" w:rsidP="00F26525">
      <w:pPr>
        <w:pStyle w:val="prastasiniatinklio"/>
        <w:spacing w:line="276" w:lineRule="auto"/>
      </w:pPr>
    </w:p>
    <w:p w14:paraId="3C75F15C" w14:textId="22E4BCF3" w:rsidR="009A492E" w:rsidRDefault="009A492E" w:rsidP="009A492E">
      <w:pPr>
        <w:spacing w:after="0"/>
        <w:rPr>
          <w:rFonts w:ascii="Times New Roman" w:eastAsia="Times New Roman" w:hAnsi="Times New Roman" w:cs="Times New Roman"/>
          <w:b/>
          <w:bCs/>
          <w:sz w:val="24"/>
          <w:szCs w:val="24"/>
          <w:lang w:eastAsia="lt-LT"/>
        </w:rPr>
      </w:pPr>
      <w:r w:rsidRPr="009A492E">
        <w:rPr>
          <w:rFonts w:ascii="Times New Roman" w:eastAsia="Times New Roman" w:hAnsi="Times New Roman" w:cs="Times New Roman"/>
          <w:b/>
          <w:bCs/>
          <w:sz w:val="24"/>
          <w:szCs w:val="24"/>
          <w:lang w:eastAsia="lt-LT"/>
        </w:rPr>
        <w:t xml:space="preserve">Švietimui skirtų lėšų pasiskirstymas </w:t>
      </w:r>
    </w:p>
    <w:p w14:paraId="6BE674E9" w14:textId="77777777" w:rsidR="00B04AAD" w:rsidRDefault="00B04AAD" w:rsidP="009A492E">
      <w:pPr>
        <w:spacing w:after="0"/>
        <w:rPr>
          <w:rFonts w:ascii="Times New Roman" w:eastAsia="Times New Roman" w:hAnsi="Times New Roman" w:cs="Times New Roman"/>
          <w:b/>
          <w:bCs/>
          <w:sz w:val="24"/>
          <w:szCs w:val="24"/>
          <w:lang w:eastAsia="lt-LT"/>
        </w:rPr>
      </w:pPr>
    </w:p>
    <w:p w14:paraId="5FEA7570" w14:textId="3C318208" w:rsidR="009A492E" w:rsidRDefault="00B04AAD" w:rsidP="00B04AAD">
      <w:pPr>
        <w:spacing w:after="0"/>
        <w:ind w:firstLine="1296"/>
        <w:rPr>
          <w:rFonts w:ascii="Times New Roman" w:eastAsia="Times New Roman" w:hAnsi="Times New Roman" w:cs="Times New Roman"/>
          <w:sz w:val="24"/>
          <w:szCs w:val="24"/>
          <w:lang w:eastAsia="lt-LT"/>
        </w:rPr>
      </w:pPr>
      <w:r w:rsidRPr="00B04AAD">
        <w:rPr>
          <w:rFonts w:ascii="Times New Roman" w:eastAsia="Times New Roman" w:hAnsi="Times New Roman" w:cs="Times New Roman"/>
          <w:sz w:val="24"/>
          <w:szCs w:val="24"/>
          <w:lang w:eastAsia="lt-LT"/>
        </w:rPr>
        <w:t xml:space="preserve">Sėkmingai švietimo įstaigų veiklai įtakos turi ir finansavimo aspektas. </w:t>
      </w:r>
      <w:r>
        <w:rPr>
          <w:rFonts w:ascii="Times New Roman" w:eastAsia="Times New Roman" w:hAnsi="Times New Roman" w:cs="Times New Roman"/>
          <w:sz w:val="24"/>
          <w:szCs w:val="24"/>
          <w:lang w:eastAsia="lt-LT"/>
        </w:rPr>
        <w:t xml:space="preserve">Ugdymo įstaigų veiklai skiriamos valstybės lėšos, taip pat savivaldybės biudžeto lėšas, kt. lėšos. 1 lentelėje parodytas švietimui skirtų lėšų pasiskirstymas (tūkst. Eur). </w:t>
      </w:r>
    </w:p>
    <w:p w14:paraId="525638E2" w14:textId="50D116FC" w:rsidR="00B04AAD" w:rsidRDefault="00B04AAD" w:rsidP="00B04AAD">
      <w:pPr>
        <w:spacing w:after="0"/>
        <w:rPr>
          <w:rFonts w:ascii="Times New Roman" w:eastAsia="Times New Roman" w:hAnsi="Times New Roman" w:cs="Times New Roman"/>
          <w:sz w:val="24"/>
          <w:szCs w:val="24"/>
          <w:lang w:eastAsia="lt-LT"/>
        </w:rPr>
      </w:pPr>
    </w:p>
    <w:p w14:paraId="006B9612" w14:textId="26DE1DE5" w:rsidR="00B04AAD" w:rsidRPr="009A492E" w:rsidRDefault="00B04AAD" w:rsidP="00B04AAD">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lentelė</w:t>
      </w:r>
    </w:p>
    <w:p w14:paraId="13B92D0B" w14:textId="77777777" w:rsidR="009A492E" w:rsidRPr="009A492E" w:rsidRDefault="009A492E" w:rsidP="009A492E">
      <w:pPr>
        <w:spacing w:after="0"/>
        <w:ind w:firstLine="62"/>
        <w:jc w:val="center"/>
        <w:rPr>
          <w:rFonts w:ascii="Times New Roman" w:eastAsia="Times New Roman" w:hAnsi="Times New Roman" w:cs="Times New Roman"/>
          <w:b/>
          <w:sz w:val="24"/>
          <w:szCs w:val="24"/>
          <w:lang w:eastAsia="lt-LT"/>
        </w:rPr>
      </w:pPr>
    </w:p>
    <w:tbl>
      <w:tblPr>
        <w:tblW w:w="7088" w:type="dxa"/>
        <w:tblInd w:w="250" w:type="dxa"/>
        <w:tblLook w:val="04A0" w:firstRow="1" w:lastRow="0" w:firstColumn="1" w:lastColumn="0" w:noHBand="0" w:noVBand="1"/>
      </w:tblPr>
      <w:tblGrid>
        <w:gridCol w:w="3119"/>
        <w:gridCol w:w="1417"/>
        <w:gridCol w:w="1276"/>
        <w:gridCol w:w="1276"/>
      </w:tblGrid>
      <w:tr w:rsidR="009A492E" w:rsidRPr="009A492E" w14:paraId="11CB7D89" w14:textId="77777777" w:rsidTr="009A492E">
        <w:trPr>
          <w:gridBefore w:val="1"/>
          <w:wBefore w:w="3119" w:type="dxa"/>
          <w:trHeight w:val="315"/>
        </w:trPr>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01B193"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 xml:space="preserve">2019 m. </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6061F2E"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 xml:space="preserve">2020 m. </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3E70C31"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 xml:space="preserve">2021 m. </w:t>
            </w:r>
          </w:p>
        </w:tc>
      </w:tr>
      <w:tr w:rsidR="009A492E" w:rsidRPr="009A492E" w14:paraId="6E6854F2" w14:textId="77777777" w:rsidTr="00232FF3">
        <w:trPr>
          <w:trHeight w:val="30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B9A0E" w14:textId="77777777" w:rsidR="009A492E" w:rsidRPr="009A492E" w:rsidRDefault="009A492E" w:rsidP="009A492E">
            <w:pPr>
              <w:spacing w:after="0"/>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Valstybės lėšos</w:t>
            </w:r>
          </w:p>
        </w:tc>
        <w:tc>
          <w:tcPr>
            <w:tcW w:w="1417" w:type="dxa"/>
            <w:tcBorders>
              <w:top w:val="nil"/>
              <w:left w:val="nil"/>
              <w:bottom w:val="nil"/>
              <w:right w:val="single" w:sz="4" w:space="0" w:color="auto"/>
            </w:tcBorders>
            <w:shd w:val="clear" w:color="auto" w:fill="auto"/>
            <w:noWrap/>
            <w:vAlign w:val="center"/>
          </w:tcPr>
          <w:p w14:paraId="5A71E825"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5623,8</w:t>
            </w:r>
          </w:p>
        </w:tc>
        <w:tc>
          <w:tcPr>
            <w:tcW w:w="1276" w:type="dxa"/>
            <w:tcBorders>
              <w:top w:val="nil"/>
              <w:left w:val="nil"/>
              <w:bottom w:val="nil"/>
              <w:right w:val="single" w:sz="4" w:space="0" w:color="auto"/>
            </w:tcBorders>
            <w:shd w:val="clear" w:color="auto" w:fill="auto"/>
            <w:vAlign w:val="center"/>
          </w:tcPr>
          <w:p w14:paraId="5EE3C435"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7121,7</w:t>
            </w:r>
          </w:p>
        </w:tc>
        <w:tc>
          <w:tcPr>
            <w:tcW w:w="1276" w:type="dxa"/>
            <w:tcBorders>
              <w:top w:val="nil"/>
              <w:left w:val="nil"/>
              <w:bottom w:val="nil"/>
              <w:right w:val="single" w:sz="4" w:space="0" w:color="auto"/>
            </w:tcBorders>
            <w:shd w:val="clear" w:color="auto" w:fill="auto"/>
            <w:vAlign w:val="center"/>
          </w:tcPr>
          <w:p w14:paraId="62EB0D41"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6781,9</w:t>
            </w:r>
          </w:p>
        </w:tc>
      </w:tr>
      <w:tr w:rsidR="009A492E" w:rsidRPr="009A492E" w14:paraId="506BEF30" w14:textId="77777777" w:rsidTr="00232FF3">
        <w:trPr>
          <w:trHeight w:val="264"/>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8FBC0E" w14:textId="77777777" w:rsidR="009A492E" w:rsidRPr="009A492E" w:rsidRDefault="009A492E" w:rsidP="009A492E">
            <w:pPr>
              <w:spacing w:after="0"/>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Savivaldybės biudžeto lėšos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2E2D8B"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4578,1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95F9C7"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4791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9BF752"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4782,5</w:t>
            </w:r>
          </w:p>
        </w:tc>
      </w:tr>
      <w:tr w:rsidR="009A492E" w:rsidRPr="009A492E" w14:paraId="2E4F54A9" w14:textId="77777777" w:rsidTr="00232FF3">
        <w:trPr>
          <w:trHeight w:val="26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C3F295" w14:textId="77777777" w:rsidR="009A492E" w:rsidRPr="009A492E" w:rsidRDefault="009A492E" w:rsidP="009A492E">
            <w:pPr>
              <w:spacing w:after="0"/>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Mokyklų gautos pajamos</w:t>
            </w:r>
          </w:p>
        </w:tc>
        <w:tc>
          <w:tcPr>
            <w:tcW w:w="1417" w:type="dxa"/>
            <w:tcBorders>
              <w:top w:val="nil"/>
              <w:left w:val="nil"/>
              <w:bottom w:val="single" w:sz="4" w:space="0" w:color="auto"/>
              <w:right w:val="single" w:sz="4" w:space="0" w:color="auto"/>
            </w:tcBorders>
            <w:shd w:val="clear" w:color="auto" w:fill="auto"/>
            <w:noWrap/>
            <w:vAlign w:val="center"/>
          </w:tcPr>
          <w:p w14:paraId="133E186C"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465,2</w:t>
            </w:r>
          </w:p>
        </w:tc>
        <w:tc>
          <w:tcPr>
            <w:tcW w:w="1276" w:type="dxa"/>
            <w:tcBorders>
              <w:top w:val="nil"/>
              <w:left w:val="nil"/>
              <w:bottom w:val="single" w:sz="4" w:space="0" w:color="auto"/>
              <w:right w:val="single" w:sz="4" w:space="0" w:color="auto"/>
            </w:tcBorders>
            <w:shd w:val="clear" w:color="auto" w:fill="auto"/>
            <w:vAlign w:val="center"/>
          </w:tcPr>
          <w:p w14:paraId="503B95FD"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396,5</w:t>
            </w:r>
          </w:p>
        </w:tc>
        <w:tc>
          <w:tcPr>
            <w:tcW w:w="1276" w:type="dxa"/>
            <w:tcBorders>
              <w:top w:val="nil"/>
              <w:left w:val="nil"/>
              <w:bottom w:val="single" w:sz="4" w:space="0" w:color="auto"/>
              <w:right w:val="single" w:sz="4" w:space="0" w:color="auto"/>
            </w:tcBorders>
            <w:shd w:val="clear" w:color="auto" w:fill="auto"/>
            <w:vAlign w:val="center"/>
          </w:tcPr>
          <w:p w14:paraId="18F5F1F0"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286,2</w:t>
            </w:r>
          </w:p>
        </w:tc>
      </w:tr>
      <w:tr w:rsidR="009A492E" w:rsidRPr="009A492E" w14:paraId="5BB67A54" w14:textId="77777777" w:rsidTr="00232FF3">
        <w:trPr>
          <w:trHeight w:val="26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46FB462" w14:textId="77777777" w:rsidR="009A492E" w:rsidRPr="009A492E" w:rsidRDefault="009A492E" w:rsidP="009A492E">
            <w:pPr>
              <w:spacing w:after="0"/>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Paskolos</w:t>
            </w:r>
          </w:p>
        </w:tc>
        <w:tc>
          <w:tcPr>
            <w:tcW w:w="1417" w:type="dxa"/>
            <w:tcBorders>
              <w:top w:val="nil"/>
              <w:left w:val="nil"/>
              <w:bottom w:val="single" w:sz="4" w:space="0" w:color="auto"/>
              <w:right w:val="single" w:sz="4" w:space="0" w:color="auto"/>
            </w:tcBorders>
            <w:shd w:val="clear" w:color="auto" w:fill="auto"/>
            <w:noWrap/>
            <w:vAlign w:val="center"/>
          </w:tcPr>
          <w:p w14:paraId="3C67D70A" w14:textId="77777777" w:rsidR="009A492E" w:rsidRPr="009A492E" w:rsidRDefault="009A492E" w:rsidP="009A492E">
            <w:pPr>
              <w:spacing w:after="0"/>
              <w:ind w:firstLine="62"/>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w:t>
            </w:r>
          </w:p>
        </w:tc>
        <w:tc>
          <w:tcPr>
            <w:tcW w:w="1276" w:type="dxa"/>
            <w:tcBorders>
              <w:top w:val="nil"/>
              <w:left w:val="nil"/>
              <w:bottom w:val="single" w:sz="4" w:space="0" w:color="auto"/>
              <w:right w:val="single" w:sz="4" w:space="0" w:color="auto"/>
            </w:tcBorders>
            <w:shd w:val="clear" w:color="auto" w:fill="auto"/>
            <w:vAlign w:val="center"/>
          </w:tcPr>
          <w:p w14:paraId="76B16063"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39</w:t>
            </w:r>
          </w:p>
        </w:tc>
        <w:tc>
          <w:tcPr>
            <w:tcW w:w="1276" w:type="dxa"/>
            <w:tcBorders>
              <w:top w:val="nil"/>
              <w:left w:val="nil"/>
              <w:bottom w:val="single" w:sz="4" w:space="0" w:color="auto"/>
              <w:right w:val="single" w:sz="4" w:space="0" w:color="auto"/>
            </w:tcBorders>
            <w:shd w:val="clear" w:color="auto" w:fill="auto"/>
            <w:vAlign w:val="center"/>
          </w:tcPr>
          <w:p w14:paraId="0DCBBA4B" w14:textId="77777777" w:rsidR="009A492E" w:rsidRPr="009A492E" w:rsidRDefault="009A492E" w:rsidP="009A492E">
            <w:pPr>
              <w:spacing w:after="0"/>
              <w:ind w:firstLine="62"/>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127,5</w:t>
            </w:r>
          </w:p>
        </w:tc>
      </w:tr>
      <w:tr w:rsidR="009A492E" w:rsidRPr="009A492E" w14:paraId="76C8E8EB" w14:textId="77777777" w:rsidTr="00232FF3">
        <w:trPr>
          <w:trHeight w:val="26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27FD35E" w14:textId="77777777" w:rsidR="009A492E" w:rsidRPr="009A492E" w:rsidRDefault="009A492E" w:rsidP="009A492E">
            <w:pPr>
              <w:spacing w:after="0"/>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Iš viso</w:t>
            </w:r>
          </w:p>
        </w:tc>
        <w:tc>
          <w:tcPr>
            <w:tcW w:w="1417" w:type="dxa"/>
            <w:tcBorders>
              <w:top w:val="nil"/>
              <w:left w:val="nil"/>
              <w:bottom w:val="single" w:sz="4" w:space="0" w:color="auto"/>
              <w:right w:val="single" w:sz="4" w:space="0" w:color="auto"/>
            </w:tcBorders>
            <w:shd w:val="clear" w:color="auto" w:fill="auto"/>
            <w:noWrap/>
            <w:vAlign w:val="center"/>
          </w:tcPr>
          <w:p w14:paraId="7CDC715F"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10667</w:t>
            </w:r>
          </w:p>
        </w:tc>
        <w:tc>
          <w:tcPr>
            <w:tcW w:w="1276" w:type="dxa"/>
            <w:tcBorders>
              <w:top w:val="nil"/>
              <w:left w:val="nil"/>
              <w:bottom w:val="single" w:sz="4" w:space="0" w:color="auto"/>
              <w:right w:val="single" w:sz="4" w:space="0" w:color="auto"/>
            </w:tcBorders>
            <w:shd w:val="clear" w:color="auto" w:fill="auto"/>
            <w:vAlign w:val="center"/>
          </w:tcPr>
          <w:p w14:paraId="2FF63A82"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12085</w:t>
            </w:r>
          </w:p>
        </w:tc>
        <w:tc>
          <w:tcPr>
            <w:tcW w:w="1276" w:type="dxa"/>
            <w:tcBorders>
              <w:top w:val="nil"/>
              <w:left w:val="nil"/>
              <w:bottom w:val="single" w:sz="4" w:space="0" w:color="auto"/>
              <w:right w:val="single" w:sz="4" w:space="0" w:color="auto"/>
            </w:tcBorders>
            <w:shd w:val="clear" w:color="auto" w:fill="auto"/>
            <w:vAlign w:val="center"/>
          </w:tcPr>
          <w:p w14:paraId="142F547D" w14:textId="77777777" w:rsidR="009A492E" w:rsidRPr="009A492E" w:rsidRDefault="009A492E" w:rsidP="009A492E">
            <w:pPr>
              <w:spacing w:after="0"/>
              <w:jc w:val="center"/>
              <w:rPr>
                <w:rFonts w:ascii="Times New Roman" w:eastAsia="Times New Roman" w:hAnsi="Times New Roman" w:cs="Times New Roman"/>
                <w:sz w:val="24"/>
                <w:szCs w:val="24"/>
                <w:lang w:eastAsia="lt-LT"/>
              </w:rPr>
            </w:pPr>
            <w:r w:rsidRPr="009A492E">
              <w:rPr>
                <w:rFonts w:ascii="Times New Roman" w:eastAsia="Times New Roman" w:hAnsi="Times New Roman" w:cs="Times New Roman"/>
                <w:sz w:val="24"/>
                <w:szCs w:val="24"/>
                <w:lang w:eastAsia="lt-LT"/>
              </w:rPr>
              <w:t>11978,1</w:t>
            </w:r>
          </w:p>
        </w:tc>
      </w:tr>
    </w:tbl>
    <w:p w14:paraId="3FEE1931" w14:textId="77777777" w:rsidR="009A492E" w:rsidRDefault="009A492E" w:rsidP="00C95D19">
      <w:pPr>
        <w:pStyle w:val="prastasiniatinklio"/>
        <w:rPr>
          <w:b/>
          <w:bCs/>
        </w:rPr>
      </w:pPr>
    </w:p>
    <w:p w14:paraId="6B429D6B" w14:textId="72519C82" w:rsidR="00C95D19" w:rsidRDefault="00C95D19" w:rsidP="00C95D19">
      <w:pPr>
        <w:pStyle w:val="prastasiniatinklio"/>
        <w:rPr>
          <w:b/>
          <w:bCs/>
        </w:rPr>
      </w:pPr>
      <w:r w:rsidRPr="00C95D19">
        <w:rPr>
          <w:b/>
          <w:bCs/>
        </w:rPr>
        <w:t>Ekonominės ir socialinės būklės kontekstas</w:t>
      </w:r>
    </w:p>
    <w:p w14:paraId="44BE9844" w14:textId="77777777" w:rsidR="00062720" w:rsidRDefault="00062720" w:rsidP="00C95D19">
      <w:pPr>
        <w:pStyle w:val="prastasiniatinklio"/>
        <w:rPr>
          <w:b/>
          <w:bCs/>
        </w:rPr>
      </w:pPr>
    </w:p>
    <w:p w14:paraId="55EAC9A3" w14:textId="2BD3DEFE" w:rsidR="00CC25CF" w:rsidRDefault="00C95D19" w:rsidP="00AE13D2">
      <w:pPr>
        <w:pStyle w:val="prastasiniatinklio"/>
        <w:spacing w:line="276" w:lineRule="auto"/>
        <w:ind w:firstLine="1296"/>
        <w:jc w:val="both"/>
      </w:pPr>
      <w:r>
        <w:t>Savivaldybės ekonominės ir socialinės būklės kontekstas daro įtaką švietimo procesams. Savivaldybės darbo rinkoje vykstantys procesai daro įtaką gyventojų užimtumui, o šis – gyventojų švietimo poreikiams.</w:t>
      </w:r>
      <w:r w:rsidRPr="00C95D19">
        <w:t xml:space="preserve"> Socialinės paramos skyriaus duomenimis, socialinę riziką patiriančių šeimų skaičius per paskutinius metus padidėjo. 2016 m. šių šeimų skaičius buvo 97, jose augo 246 vaikai, 2020 m. gruodžio 31 d. tokių šeimų buvo 134, jose augo 292 vaikai. Daugiausia šeimų, patiriančių socialinę riziką, registruota 2020 m. Aktualios įvairios priemonės, užtikrinančios paramą </w:t>
      </w:r>
      <w:r>
        <w:t xml:space="preserve"> n</w:t>
      </w:r>
      <w:r w:rsidRPr="00C95D19">
        <w:t>epalankiomis ekonominėmis sąlygomis gyvenančių šeimų vaikams. Tai rodo gaunančių nemokamą maitinimą mokinių skaičius. Šis rodiklis žymi, kokia mokinių dalis gali patirti mokymosi nesėkmę dėl blogų gyvenimo ir mokymosi sąlygų. Mažas pajamas turinčių šeimų mokiniams skiriamas nemokamas maitinimas. Nuo 2020 m. nemokamas mokinių maitinimas teikiamas visiems priešmokyklinio amžiaus vaikams ir 1 klasės mokiniams, nevertinant tėvų (globėjų) pajamų.</w:t>
      </w:r>
      <w:r w:rsidR="0027208E">
        <w:t xml:space="preserve"> Nemokamai maitinamų mokinių rajono ugdymo įstaigose kasmet daugėja. </w:t>
      </w:r>
      <w:r w:rsidR="00CC4FD1">
        <w:t xml:space="preserve">Toliau </w:t>
      </w:r>
      <w:r w:rsidR="00B04AAD">
        <w:t>2</w:t>
      </w:r>
      <w:r w:rsidR="0042112D">
        <w:t xml:space="preserve"> </w:t>
      </w:r>
      <w:r w:rsidR="00CC4FD1">
        <w:t xml:space="preserve">lentelėje parodytas nemokamai maitinamų ugdytinių skaičiaus pokytis 2019–2021 m.  </w:t>
      </w:r>
    </w:p>
    <w:p w14:paraId="6E28685F" w14:textId="3F31703B" w:rsidR="00252FD9" w:rsidRDefault="00252FD9" w:rsidP="00C95D19">
      <w:pPr>
        <w:pStyle w:val="prastasiniatinklio"/>
        <w:spacing w:line="276" w:lineRule="auto"/>
        <w:jc w:val="both"/>
      </w:pPr>
    </w:p>
    <w:p w14:paraId="66AB6D56" w14:textId="00B1040A" w:rsidR="0042112D" w:rsidRPr="00944EC9" w:rsidRDefault="00B04AAD" w:rsidP="00C95D19">
      <w:pPr>
        <w:pStyle w:val="prastasiniatinklio"/>
        <w:spacing w:line="276" w:lineRule="auto"/>
        <w:jc w:val="both"/>
      </w:pPr>
      <w:r>
        <w:t>2</w:t>
      </w:r>
      <w:r w:rsidR="0042112D">
        <w:t xml:space="preserve"> lentelė</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34"/>
        <w:gridCol w:w="1418"/>
        <w:gridCol w:w="1276"/>
      </w:tblGrid>
      <w:tr w:rsidR="00CC4FD1" w14:paraId="426757C4" w14:textId="7723018C" w:rsidTr="0042112D">
        <w:trPr>
          <w:trHeight w:val="354"/>
        </w:trPr>
        <w:tc>
          <w:tcPr>
            <w:tcW w:w="4248" w:type="dxa"/>
            <w:tcBorders>
              <w:top w:val="single" w:sz="4" w:space="0" w:color="auto"/>
              <w:left w:val="single" w:sz="4" w:space="0" w:color="auto"/>
              <w:bottom w:val="nil"/>
              <w:right w:val="single" w:sz="4" w:space="0" w:color="auto"/>
            </w:tcBorders>
            <w:shd w:val="clear" w:color="auto" w:fill="C6D9F1" w:themeFill="text2" w:themeFillTint="33"/>
          </w:tcPr>
          <w:p w14:paraId="1F38F86E" w14:textId="48C2360A" w:rsidR="00CC4FD1" w:rsidRPr="00073E1C" w:rsidRDefault="0042112D" w:rsidP="0042112D">
            <w:pPr>
              <w:jc w:val="center"/>
              <w:rPr>
                <w:rFonts w:ascii="Times New Roman" w:hAnsi="Times New Roman" w:cs="Times New Roman"/>
                <w:szCs w:val="24"/>
                <w:lang w:eastAsia="lt-LT"/>
              </w:rPr>
            </w:pPr>
            <w:r>
              <w:rPr>
                <w:rFonts w:ascii="Times New Roman" w:hAnsi="Times New Roman" w:cs="Times New Roman"/>
                <w:bCs/>
                <w:szCs w:val="24"/>
                <w:shd w:val="clear" w:color="auto" w:fill="D9D9D9"/>
                <w:lang w:eastAsia="lt-LT"/>
              </w:rPr>
              <w:t xml:space="preserve">Metai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D6920C9" w14:textId="77777777" w:rsidR="00CC4FD1" w:rsidRPr="00073E1C" w:rsidRDefault="00CC4FD1" w:rsidP="00D92932">
            <w:pPr>
              <w:jc w:val="center"/>
              <w:rPr>
                <w:rFonts w:ascii="Times New Roman" w:hAnsi="Times New Roman" w:cs="Times New Roman"/>
                <w:szCs w:val="24"/>
                <w:lang w:eastAsia="lt-LT"/>
              </w:rPr>
            </w:pPr>
            <w:r w:rsidRPr="00073E1C">
              <w:rPr>
                <w:rFonts w:ascii="Times New Roman" w:hAnsi="Times New Roman" w:cs="Times New Roman"/>
                <w:szCs w:val="24"/>
                <w:lang w:eastAsia="lt-LT"/>
              </w:rPr>
              <w:t>2019 m.</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1BB122" w14:textId="23FEC2D5" w:rsidR="00CC4FD1" w:rsidRPr="00073E1C" w:rsidRDefault="00CC4FD1" w:rsidP="00D92932">
            <w:pPr>
              <w:jc w:val="center"/>
              <w:rPr>
                <w:rFonts w:ascii="Times New Roman" w:hAnsi="Times New Roman" w:cs="Times New Roman"/>
                <w:szCs w:val="24"/>
                <w:lang w:eastAsia="lt-LT"/>
              </w:rPr>
            </w:pPr>
            <w:r w:rsidRPr="00073E1C">
              <w:rPr>
                <w:rFonts w:ascii="Times New Roman" w:hAnsi="Times New Roman" w:cs="Times New Roman"/>
                <w:szCs w:val="24"/>
                <w:lang w:eastAsia="lt-LT"/>
              </w:rPr>
              <w:t>2020 m.</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FF5F7C" w14:textId="05B3D9D1" w:rsidR="00CC4FD1" w:rsidRPr="00073E1C" w:rsidRDefault="00CC4FD1" w:rsidP="00D92932">
            <w:pPr>
              <w:jc w:val="center"/>
              <w:rPr>
                <w:rFonts w:ascii="Times New Roman" w:hAnsi="Times New Roman" w:cs="Times New Roman"/>
                <w:szCs w:val="24"/>
                <w:lang w:eastAsia="lt-LT"/>
              </w:rPr>
            </w:pPr>
            <w:r w:rsidRPr="00073E1C">
              <w:rPr>
                <w:rFonts w:ascii="Times New Roman" w:hAnsi="Times New Roman" w:cs="Times New Roman"/>
                <w:szCs w:val="24"/>
                <w:lang w:eastAsia="lt-LT"/>
              </w:rPr>
              <w:t xml:space="preserve">2021 m. </w:t>
            </w:r>
          </w:p>
        </w:tc>
      </w:tr>
      <w:tr w:rsidR="00CC4FD1" w14:paraId="4195AA3B" w14:textId="48B8E0CD" w:rsidTr="00B04AAD">
        <w:trPr>
          <w:trHeight w:val="345"/>
        </w:trPr>
        <w:tc>
          <w:tcPr>
            <w:tcW w:w="4248" w:type="dxa"/>
            <w:tcBorders>
              <w:top w:val="nil"/>
              <w:left w:val="single" w:sz="4" w:space="0" w:color="auto"/>
              <w:bottom w:val="single" w:sz="4" w:space="0" w:color="auto"/>
              <w:right w:val="single" w:sz="4" w:space="0" w:color="auto"/>
            </w:tcBorders>
            <w:hideMark/>
          </w:tcPr>
          <w:p w14:paraId="119EE222" w14:textId="77777777"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Nemokamai maitinamų mokinių skaičius</w:t>
            </w:r>
          </w:p>
        </w:tc>
        <w:tc>
          <w:tcPr>
            <w:tcW w:w="1134" w:type="dxa"/>
            <w:tcBorders>
              <w:top w:val="single" w:sz="4" w:space="0" w:color="auto"/>
              <w:left w:val="single" w:sz="4" w:space="0" w:color="auto"/>
              <w:bottom w:val="single" w:sz="4" w:space="0" w:color="auto"/>
              <w:right w:val="single" w:sz="4" w:space="0" w:color="auto"/>
            </w:tcBorders>
          </w:tcPr>
          <w:p w14:paraId="574E020C" w14:textId="77777777"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694</w:t>
            </w:r>
          </w:p>
        </w:tc>
        <w:tc>
          <w:tcPr>
            <w:tcW w:w="1418" w:type="dxa"/>
            <w:tcBorders>
              <w:top w:val="single" w:sz="4" w:space="0" w:color="auto"/>
              <w:left w:val="single" w:sz="4" w:space="0" w:color="auto"/>
              <w:bottom w:val="single" w:sz="4" w:space="0" w:color="auto"/>
              <w:right w:val="single" w:sz="4" w:space="0" w:color="auto"/>
            </w:tcBorders>
          </w:tcPr>
          <w:p w14:paraId="66B179AC" w14:textId="77777777"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918</w:t>
            </w:r>
          </w:p>
        </w:tc>
        <w:tc>
          <w:tcPr>
            <w:tcW w:w="1276" w:type="dxa"/>
            <w:tcBorders>
              <w:top w:val="single" w:sz="4" w:space="0" w:color="auto"/>
              <w:left w:val="single" w:sz="4" w:space="0" w:color="auto"/>
              <w:bottom w:val="single" w:sz="4" w:space="0" w:color="auto"/>
              <w:right w:val="single" w:sz="4" w:space="0" w:color="auto"/>
            </w:tcBorders>
          </w:tcPr>
          <w:p w14:paraId="7795069D" w14:textId="6478A950"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1027</w:t>
            </w:r>
          </w:p>
        </w:tc>
      </w:tr>
      <w:tr w:rsidR="00CC4FD1" w14:paraId="2A2BCFF7" w14:textId="1E202CFE" w:rsidTr="00CC4FD1">
        <w:trPr>
          <w:trHeight w:val="347"/>
        </w:trPr>
        <w:tc>
          <w:tcPr>
            <w:tcW w:w="4248" w:type="dxa"/>
            <w:tcBorders>
              <w:top w:val="single" w:sz="4" w:space="0" w:color="auto"/>
              <w:left w:val="single" w:sz="4" w:space="0" w:color="auto"/>
              <w:bottom w:val="single" w:sz="4" w:space="0" w:color="auto"/>
              <w:right w:val="single" w:sz="4" w:space="0" w:color="auto"/>
            </w:tcBorders>
            <w:hideMark/>
          </w:tcPr>
          <w:p w14:paraId="25B05EBF" w14:textId="77777777"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Nemokamai maitinamų mokinių proc.</w:t>
            </w:r>
          </w:p>
        </w:tc>
        <w:tc>
          <w:tcPr>
            <w:tcW w:w="1134" w:type="dxa"/>
            <w:tcBorders>
              <w:top w:val="single" w:sz="4" w:space="0" w:color="auto"/>
              <w:left w:val="single" w:sz="4" w:space="0" w:color="auto"/>
              <w:bottom w:val="single" w:sz="4" w:space="0" w:color="auto"/>
              <w:right w:val="single" w:sz="4" w:space="0" w:color="auto"/>
            </w:tcBorders>
          </w:tcPr>
          <w:p w14:paraId="675FF19C" w14:textId="77777777"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30,5%</w:t>
            </w:r>
          </w:p>
        </w:tc>
        <w:tc>
          <w:tcPr>
            <w:tcW w:w="1418" w:type="dxa"/>
            <w:tcBorders>
              <w:top w:val="single" w:sz="4" w:space="0" w:color="auto"/>
              <w:left w:val="single" w:sz="4" w:space="0" w:color="auto"/>
              <w:bottom w:val="single" w:sz="4" w:space="0" w:color="auto"/>
              <w:right w:val="single" w:sz="4" w:space="0" w:color="auto"/>
            </w:tcBorders>
          </w:tcPr>
          <w:p w14:paraId="66C4E255" w14:textId="77777777"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41,7%</w:t>
            </w:r>
          </w:p>
        </w:tc>
        <w:tc>
          <w:tcPr>
            <w:tcW w:w="1276" w:type="dxa"/>
            <w:tcBorders>
              <w:top w:val="single" w:sz="4" w:space="0" w:color="auto"/>
              <w:left w:val="single" w:sz="4" w:space="0" w:color="auto"/>
              <w:bottom w:val="single" w:sz="4" w:space="0" w:color="auto"/>
              <w:right w:val="single" w:sz="4" w:space="0" w:color="auto"/>
            </w:tcBorders>
          </w:tcPr>
          <w:p w14:paraId="536AD328" w14:textId="12BE3BD2" w:rsidR="00CC4FD1" w:rsidRPr="00073E1C" w:rsidRDefault="00CC4FD1" w:rsidP="00073E1C">
            <w:pPr>
              <w:pStyle w:val="Betarp"/>
              <w:rPr>
                <w:rFonts w:ascii="Times New Roman" w:hAnsi="Times New Roman" w:cs="Times New Roman"/>
                <w:sz w:val="24"/>
                <w:szCs w:val="24"/>
                <w:lang w:eastAsia="lt-LT"/>
              </w:rPr>
            </w:pPr>
            <w:r w:rsidRPr="00073E1C">
              <w:rPr>
                <w:rFonts w:ascii="Times New Roman" w:hAnsi="Times New Roman" w:cs="Times New Roman"/>
                <w:sz w:val="24"/>
                <w:szCs w:val="24"/>
                <w:lang w:eastAsia="lt-LT"/>
              </w:rPr>
              <w:t>51,2%</w:t>
            </w:r>
          </w:p>
        </w:tc>
      </w:tr>
    </w:tbl>
    <w:p w14:paraId="41C198B5" w14:textId="77777777" w:rsidR="00062720" w:rsidRDefault="00062720" w:rsidP="00AE13D2">
      <w:pPr>
        <w:ind w:firstLine="1296"/>
        <w:jc w:val="both"/>
        <w:rPr>
          <w:rFonts w:ascii="Times New Roman" w:hAnsi="Times New Roman" w:cs="Times New Roman"/>
          <w:sz w:val="24"/>
          <w:szCs w:val="24"/>
        </w:rPr>
      </w:pPr>
    </w:p>
    <w:p w14:paraId="6DD5FE96" w14:textId="668CC72B" w:rsidR="00252FD9" w:rsidRPr="006711B8" w:rsidRDefault="006711B8" w:rsidP="00AE13D2">
      <w:pPr>
        <w:ind w:firstLine="1296"/>
        <w:jc w:val="both"/>
        <w:rPr>
          <w:rFonts w:ascii="Times New Roman" w:hAnsi="Times New Roman" w:cs="Times New Roman"/>
          <w:sz w:val="24"/>
          <w:szCs w:val="24"/>
        </w:rPr>
      </w:pPr>
      <w:r w:rsidRPr="006711B8">
        <w:rPr>
          <w:rFonts w:ascii="Times New Roman" w:hAnsi="Times New Roman" w:cs="Times New Roman"/>
          <w:sz w:val="24"/>
          <w:szCs w:val="24"/>
        </w:rPr>
        <w:t>Mažėjant mokyklų skaičiui, didėja vežimo atstumai. Į mokyklą pavežami visi mokiniai, gyvenantys kaimo vietovėje toliau kaip 3 km nuo mokyklos. Mokiniai į mokyklą ir iš jos vežami Joniškio autobusų parko autobusais, kitais rajono autobusais, mokykliniais autobusais, kitu transportu.</w:t>
      </w:r>
      <w:r w:rsidR="008531E3">
        <w:rPr>
          <w:rFonts w:ascii="Times New Roman" w:hAnsi="Times New Roman" w:cs="Times New Roman"/>
          <w:sz w:val="24"/>
          <w:szCs w:val="24"/>
        </w:rPr>
        <w:t xml:space="preserve"> </w:t>
      </w:r>
      <w:r w:rsidR="001E4CE3">
        <w:rPr>
          <w:rFonts w:ascii="Times New Roman" w:hAnsi="Times New Roman" w:cs="Times New Roman"/>
          <w:sz w:val="24"/>
          <w:szCs w:val="24"/>
        </w:rPr>
        <w:t>2019-2020 m. m. į mokyklas buvo vežiojama 38,61 proc. mokinių. 2020–</w:t>
      </w:r>
      <w:r w:rsidR="008531E3">
        <w:rPr>
          <w:rFonts w:ascii="Times New Roman" w:hAnsi="Times New Roman" w:cs="Times New Roman"/>
          <w:sz w:val="24"/>
          <w:szCs w:val="24"/>
        </w:rPr>
        <w:t>2021 m. iš viso</w:t>
      </w:r>
      <w:r w:rsidR="003B407B">
        <w:rPr>
          <w:rFonts w:ascii="Times New Roman" w:hAnsi="Times New Roman" w:cs="Times New Roman"/>
          <w:sz w:val="24"/>
          <w:szCs w:val="24"/>
        </w:rPr>
        <w:t xml:space="preserve"> </w:t>
      </w:r>
      <w:r w:rsidR="003B407B">
        <w:rPr>
          <w:rFonts w:ascii="Times New Roman" w:hAnsi="Times New Roman" w:cs="Times New Roman"/>
          <w:sz w:val="24"/>
          <w:szCs w:val="24"/>
        </w:rPr>
        <w:lastRenderedPageBreak/>
        <w:t xml:space="preserve">buvo </w:t>
      </w:r>
      <w:r w:rsidR="008531E3">
        <w:rPr>
          <w:rFonts w:ascii="Times New Roman" w:hAnsi="Times New Roman" w:cs="Times New Roman"/>
          <w:sz w:val="24"/>
          <w:szCs w:val="24"/>
        </w:rPr>
        <w:t xml:space="preserve"> pavėžėjami buvo 37,1 procento visų bendrojo ugdymo mokyklų mokinių. </w:t>
      </w:r>
      <w:r w:rsidR="001E4CE3">
        <w:rPr>
          <w:rFonts w:ascii="Times New Roman" w:hAnsi="Times New Roman" w:cs="Times New Roman"/>
          <w:sz w:val="24"/>
          <w:szCs w:val="24"/>
        </w:rPr>
        <w:t xml:space="preserve">Vežiojamų mokinių skaičius nežymiai sumažėjo. </w:t>
      </w:r>
    </w:p>
    <w:p w14:paraId="434DC1D8" w14:textId="77777777" w:rsidR="00365061" w:rsidRDefault="00365061" w:rsidP="0082166C">
      <w:pPr>
        <w:pStyle w:val="Default"/>
        <w:spacing w:line="276" w:lineRule="auto"/>
        <w:rPr>
          <w:b/>
        </w:rPr>
      </w:pPr>
      <w:r w:rsidRPr="00365061">
        <w:rPr>
          <w:b/>
        </w:rPr>
        <w:t>Ikimokyklinis ir priešmokyklinis ugdymas</w:t>
      </w:r>
    </w:p>
    <w:p w14:paraId="191251B7" w14:textId="77777777" w:rsidR="0082166C" w:rsidRPr="00365061" w:rsidRDefault="0082166C" w:rsidP="0082166C">
      <w:pPr>
        <w:pStyle w:val="Default"/>
        <w:spacing w:line="276" w:lineRule="auto"/>
        <w:rPr>
          <w:b/>
        </w:rPr>
      </w:pPr>
    </w:p>
    <w:p w14:paraId="1D512DF7" w14:textId="25ABD2E5" w:rsidR="00AD4B3B" w:rsidRPr="00AD4B3B" w:rsidRDefault="001347AC" w:rsidP="00AD4B3B">
      <w:pPr>
        <w:ind w:firstLine="1296"/>
        <w:jc w:val="both"/>
        <w:rPr>
          <w:rFonts w:ascii="Times New Roman" w:hAnsi="Times New Roman" w:cs="Times New Roman"/>
          <w:sz w:val="24"/>
          <w:szCs w:val="24"/>
        </w:rPr>
      </w:pPr>
      <w:r>
        <w:rPr>
          <w:rFonts w:ascii="Times New Roman" w:hAnsi="Times New Roman" w:cs="Times New Roman"/>
          <w:sz w:val="24"/>
          <w:szCs w:val="24"/>
        </w:rPr>
        <w:t xml:space="preserve">Ikimokyklinį </w:t>
      </w:r>
      <w:r w:rsidR="00C16433">
        <w:rPr>
          <w:rFonts w:ascii="Times New Roman" w:hAnsi="Times New Roman" w:cs="Times New Roman"/>
          <w:sz w:val="24"/>
          <w:szCs w:val="24"/>
        </w:rPr>
        <w:t xml:space="preserve">ir priešmokyklinį </w:t>
      </w:r>
      <w:r>
        <w:rPr>
          <w:rFonts w:ascii="Times New Roman" w:hAnsi="Times New Roman" w:cs="Times New Roman"/>
          <w:sz w:val="24"/>
          <w:szCs w:val="24"/>
        </w:rPr>
        <w:t>ugdymą rajone teikia 4 ikimokyklinio ugdymo įstaigos</w:t>
      </w:r>
      <w:r w:rsidR="00C16433">
        <w:rPr>
          <w:rFonts w:ascii="Times New Roman" w:hAnsi="Times New Roman" w:cs="Times New Roman"/>
          <w:sz w:val="24"/>
          <w:szCs w:val="24"/>
        </w:rPr>
        <w:t xml:space="preserve">, taip pat 5 bendrojo ugdymo mokyklos, turinčios ikimokyklinio ir priešmokyklinio ugdymo grupes. </w:t>
      </w:r>
      <w:r w:rsidR="00365061" w:rsidRPr="00365061">
        <w:rPr>
          <w:rFonts w:ascii="Times New Roman" w:hAnsi="Times New Roman" w:cs="Times New Roman"/>
          <w:sz w:val="24"/>
          <w:szCs w:val="24"/>
        </w:rPr>
        <w:t xml:space="preserve">Ikimokykliniame ir priešmokykliniame ugdyme dalyvaujančių vaikų </w:t>
      </w:r>
      <w:r w:rsidR="00F7037C">
        <w:rPr>
          <w:rFonts w:ascii="Times New Roman" w:hAnsi="Times New Roman" w:cs="Times New Roman"/>
          <w:sz w:val="24"/>
          <w:szCs w:val="24"/>
        </w:rPr>
        <w:t xml:space="preserve">skaičius rajone augo: 2019–2020 m. m. ikimokyklinio ir priešmokyklinio ugdymo grupes lankė 81,74 proc. visų rajone registruotų to amžiaus vaikų, o 2020–2021 m. m. šis rodiklis siekė 85,27 proc. 2021m. metais 5 vaikams skirtas privalomas ikimokyklinis ugdymas. </w:t>
      </w:r>
      <w:r w:rsidR="001E7E99">
        <w:rPr>
          <w:rFonts w:ascii="Times New Roman" w:hAnsi="Times New Roman" w:cs="Times New Roman"/>
          <w:sz w:val="24"/>
          <w:szCs w:val="24"/>
        </w:rPr>
        <w:t xml:space="preserve">Ikimokykliniame ugdyme dalyvaujančių vaikų skaičius kasmet didėja. </w:t>
      </w:r>
      <w:r w:rsidR="00AD4B3B" w:rsidRPr="00AD4B3B">
        <w:rPr>
          <w:rFonts w:ascii="Times New Roman" w:hAnsi="Times New Roman" w:cs="Times New Roman"/>
          <w:sz w:val="24"/>
          <w:szCs w:val="24"/>
        </w:rPr>
        <w:t xml:space="preserve">Ikimokyklinio amžiaus vaikų skaičiaus pokytis ugdymo įstaigose (kartu su VšĮ „Spalvų </w:t>
      </w:r>
      <w:r w:rsidR="00AD4B3B">
        <w:rPr>
          <w:rFonts w:ascii="Times New Roman" w:hAnsi="Times New Roman" w:cs="Times New Roman"/>
          <w:sz w:val="24"/>
          <w:szCs w:val="24"/>
        </w:rPr>
        <w:t>H</w:t>
      </w:r>
      <w:r w:rsidR="00AD4B3B" w:rsidRPr="00AD4B3B">
        <w:rPr>
          <w:rFonts w:ascii="Times New Roman" w:hAnsi="Times New Roman" w:cs="Times New Roman"/>
          <w:sz w:val="24"/>
          <w:szCs w:val="24"/>
        </w:rPr>
        <w:t>armonija“) 201</w:t>
      </w:r>
      <w:r w:rsidR="00AD4B3B">
        <w:rPr>
          <w:rFonts w:ascii="Times New Roman" w:hAnsi="Times New Roman" w:cs="Times New Roman"/>
          <w:sz w:val="24"/>
          <w:szCs w:val="24"/>
        </w:rPr>
        <w:t>9</w:t>
      </w:r>
      <w:r w:rsidR="00AD4B3B" w:rsidRPr="00AD4B3B">
        <w:rPr>
          <w:rFonts w:ascii="Times New Roman" w:hAnsi="Times New Roman" w:cs="Times New Roman"/>
          <w:sz w:val="24"/>
          <w:szCs w:val="24"/>
        </w:rPr>
        <w:t>–202</w:t>
      </w:r>
      <w:r w:rsidR="00AD4B3B">
        <w:rPr>
          <w:rFonts w:ascii="Times New Roman" w:hAnsi="Times New Roman" w:cs="Times New Roman"/>
          <w:sz w:val="24"/>
          <w:szCs w:val="24"/>
        </w:rPr>
        <w:t>1</w:t>
      </w:r>
      <w:r w:rsidR="00AD4B3B" w:rsidRPr="00AD4B3B">
        <w:rPr>
          <w:rFonts w:ascii="Times New Roman" w:hAnsi="Times New Roman" w:cs="Times New Roman"/>
          <w:sz w:val="24"/>
          <w:szCs w:val="24"/>
        </w:rPr>
        <w:t xml:space="preserve"> m. parodytas </w:t>
      </w:r>
      <w:r w:rsidR="00B04AAD">
        <w:rPr>
          <w:rFonts w:ascii="Times New Roman" w:hAnsi="Times New Roman" w:cs="Times New Roman"/>
          <w:sz w:val="24"/>
          <w:szCs w:val="24"/>
        </w:rPr>
        <w:t>3</w:t>
      </w:r>
      <w:r w:rsidR="00AD4B3B" w:rsidRPr="00AD4B3B">
        <w:rPr>
          <w:rFonts w:ascii="Times New Roman" w:hAnsi="Times New Roman" w:cs="Times New Roman"/>
          <w:sz w:val="24"/>
          <w:szCs w:val="24"/>
        </w:rPr>
        <w:t xml:space="preserve"> lentelėje. </w:t>
      </w:r>
    </w:p>
    <w:p w14:paraId="14BDF0D7" w14:textId="131DB847" w:rsidR="00AD4B3B" w:rsidRPr="00AD4B3B" w:rsidRDefault="00B04AAD" w:rsidP="0042112D">
      <w:pPr>
        <w:spacing w:after="0"/>
        <w:jc w:val="both"/>
        <w:rPr>
          <w:rFonts w:ascii="Calibri" w:eastAsia="Calibri" w:hAnsi="Calibri" w:cs="Times New Roman"/>
        </w:rPr>
      </w:pPr>
      <w:r>
        <w:rPr>
          <w:rFonts w:ascii="Times New Roman" w:eastAsia="Calibri" w:hAnsi="Times New Roman" w:cs="Times New Roman"/>
          <w:sz w:val="24"/>
          <w:szCs w:val="24"/>
        </w:rPr>
        <w:t>3</w:t>
      </w:r>
      <w:r w:rsidR="0042112D">
        <w:rPr>
          <w:rFonts w:ascii="Times New Roman" w:eastAsia="Calibri" w:hAnsi="Times New Roman" w:cs="Times New Roman"/>
          <w:sz w:val="24"/>
          <w:szCs w:val="24"/>
        </w:rPr>
        <w:t xml:space="preserve"> lentelė</w:t>
      </w:r>
      <w:r w:rsidR="00AD4B3B" w:rsidRPr="00AD4B3B">
        <w:rPr>
          <w:rFonts w:ascii="Times New Roman" w:eastAsia="Calibri" w:hAnsi="Times New Roman" w:cs="Times New Roman"/>
          <w:sz w:val="24"/>
          <w:szCs w:val="24"/>
        </w:rPr>
        <w:t xml:space="preserve"> </w:t>
      </w:r>
    </w:p>
    <w:tbl>
      <w:tblPr>
        <w:tblW w:w="6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417"/>
        <w:gridCol w:w="1417"/>
        <w:gridCol w:w="1417"/>
      </w:tblGrid>
      <w:tr w:rsidR="00CC4FD1" w:rsidRPr="00AD4B3B" w14:paraId="7B01B5B8" w14:textId="77777777" w:rsidTr="00B04AAD">
        <w:tc>
          <w:tcPr>
            <w:tcW w:w="2098" w:type="dxa"/>
            <w:shd w:val="clear" w:color="auto" w:fill="C6D9F1" w:themeFill="text2" w:themeFillTint="33"/>
          </w:tcPr>
          <w:p w14:paraId="55CD131D" w14:textId="33F56689" w:rsidR="00AD4B3B" w:rsidRPr="00AD4B3B" w:rsidRDefault="0064260E" w:rsidP="00AD4B3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Metai </w:t>
            </w:r>
          </w:p>
        </w:tc>
        <w:tc>
          <w:tcPr>
            <w:tcW w:w="1417" w:type="dxa"/>
            <w:shd w:val="clear" w:color="auto" w:fill="C6D9F1" w:themeFill="text2" w:themeFillTint="33"/>
          </w:tcPr>
          <w:p w14:paraId="3763236A" w14:textId="77777777" w:rsidR="00AD4B3B" w:rsidRPr="00AD4B3B" w:rsidRDefault="00AD4B3B" w:rsidP="00AD4B3B">
            <w:pPr>
              <w:spacing w:after="0"/>
              <w:jc w:val="center"/>
              <w:rPr>
                <w:rFonts w:ascii="Times New Roman" w:eastAsia="Times New Roman" w:hAnsi="Times New Roman" w:cs="Times New Roman"/>
                <w:sz w:val="24"/>
                <w:szCs w:val="24"/>
                <w:lang w:eastAsia="lt-LT"/>
              </w:rPr>
            </w:pPr>
            <w:r w:rsidRPr="00AD4B3B">
              <w:rPr>
                <w:rFonts w:ascii="Times New Roman" w:eastAsia="Times New Roman" w:hAnsi="Times New Roman" w:cs="Times New Roman"/>
                <w:sz w:val="24"/>
                <w:szCs w:val="24"/>
                <w:lang w:eastAsia="lt-LT"/>
              </w:rPr>
              <w:t>2019 m.</w:t>
            </w:r>
          </w:p>
        </w:tc>
        <w:tc>
          <w:tcPr>
            <w:tcW w:w="1417" w:type="dxa"/>
            <w:shd w:val="clear" w:color="auto" w:fill="C6D9F1" w:themeFill="text2" w:themeFillTint="33"/>
          </w:tcPr>
          <w:p w14:paraId="71527837" w14:textId="77777777" w:rsidR="00AD4B3B" w:rsidRPr="00AD4B3B" w:rsidRDefault="00AD4B3B" w:rsidP="00AD4B3B">
            <w:pPr>
              <w:spacing w:after="0"/>
              <w:jc w:val="center"/>
              <w:rPr>
                <w:rFonts w:ascii="Times New Roman" w:eastAsia="Times New Roman" w:hAnsi="Times New Roman" w:cs="Times New Roman"/>
                <w:sz w:val="24"/>
                <w:szCs w:val="24"/>
                <w:lang w:eastAsia="lt-LT"/>
              </w:rPr>
            </w:pPr>
            <w:r w:rsidRPr="00AD4B3B">
              <w:rPr>
                <w:rFonts w:ascii="Times New Roman" w:eastAsia="Times New Roman" w:hAnsi="Times New Roman" w:cs="Times New Roman"/>
                <w:sz w:val="24"/>
                <w:szCs w:val="24"/>
                <w:lang w:eastAsia="lt-LT"/>
              </w:rPr>
              <w:t>2020 m.</w:t>
            </w:r>
          </w:p>
        </w:tc>
        <w:tc>
          <w:tcPr>
            <w:tcW w:w="1417" w:type="dxa"/>
            <w:shd w:val="clear" w:color="auto" w:fill="C6D9F1" w:themeFill="text2" w:themeFillTint="33"/>
          </w:tcPr>
          <w:p w14:paraId="03DAC69A" w14:textId="77777777" w:rsidR="00AD4B3B" w:rsidRPr="00AD4B3B" w:rsidRDefault="00AD4B3B" w:rsidP="00AD4B3B">
            <w:pPr>
              <w:spacing w:after="0"/>
              <w:jc w:val="center"/>
              <w:rPr>
                <w:rFonts w:ascii="Times New Roman" w:eastAsia="Times New Roman" w:hAnsi="Times New Roman" w:cs="Times New Roman"/>
                <w:sz w:val="24"/>
                <w:szCs w:val="24"/>
                <w:lang w:eastAsia="lt-LT"/>
              </w:rPr>
            </w:pPr>
            <w:r w:rsidRPr="00AD4B3B">
              <w:rPr>
                <w:rFonts w:ascii="Times New Roman" w:eastAsia="Times New Roman" w:hAnsi="Times New Roman" w:cs="Times New Roman"/>
                <w:sz w:val="24"/>
                <w:szCs w:val="24"/>
                <w:lang w:eastAsia="lt-LT"/>
              </w:rPr>
              <w:t xml:space="preserve">2021 m. </w:t>
            </w:r>
          </w:p>
        </w:tc>
      </w:tr>
      <w:tr w:rsidR="00AD4B3B" w:rsidRPr="00AD4B3B" w14:paraId="62C5E605" w14:textId="77777777" w:rsidTr="00B04AAD">
        <w:tc>
          <w:tcPr>
            <w:tcW w:w="2098" w:type="dxa"/>
            <w:shd w:val="clear" w:color="auto" w:fill="auto"/>
            <w:vAlign w:val="center"/>
          </w:tcPr>
          <w:p w14:paraId="0BA54164" w14:textId="77777777" w:rsidR="00AD4B3B" w:rsidRPr="00AD4B3B" w:rsidRDefault="00AD4B3B" w:rsidP="00AD4B3B">
            <w:pPr>
              <w:spacing w:after="0"/>
              <w:jc w:val="center"/>
              <w:rPr>
                <w:rFonts w:ascii="Times New Roman" w:eastAsia="Times New Roman" w:hAnsi="Times New Roman" w:cs="Times New Roman"/>
                <w:sz w:val="24"/>
                <w:szCs w:val="24"/>
                <w:lang w:eastAsia="lt-LT"/>
              </w:rPr>
            </w:pPr>
            <w:r w:rsidRPr="00AD4B3B">
              <w:rPr>
                <w:rFonts w:ascii="Times New Roman" w:eastAsia="Times New Roman" w:hAnsi="Times New Roman" w:cs="Times New Roman"/>
                <w:sz w:val="24"/>
                <w:szCs w:val="24"/>
                <w:lang w:eastAsia="lt-LT"/>
              </w:rPr>
              <w:t>Vaikų skaičius</w:t>
            </w:r>
          </w:p>
        </w:tc>
        <w:tc>
          <w:tcPr>
            <w:tcW w:w="1417" w:type="dxa"/>
            <w:vAlign w:val="center"/>
          </w:tcPr>
          <w:p w14:paraId="5DCA6262" w14:textId="77777777" w:rsidR="00AD4B3B" w:rsidRPr="00AD4B3B" w:rsidRDefault="00AD4B3B" w:rsidP="00AD4B3B">
            <w:pPr>
              <w:spacing w:after="0"/>
              <w:jc w:val="center"/>
              <w:rPr>
                <w:rFonts w:ascii="Times New Roman" w:eastAsia="Times New Roman" w:hAnsi="Times New Roman" w:cs="Times New Roman"/>
                <w:sz w:val="24"/>
                <w:szCs w:val="24"/>
                <w:lang w:eastAsia="lt-LT"/>
              </w:rPr>
            </w:pPr>
            <w:r w:rsidRPr="00AD4B3B">
              <w:rPr>
                <w:rFonts w:ascii="Times New Roman" w:eastAsia="Times New Roman" w:hAnsi="Times New Roman" w:cs="Times New Roman"/>
                <w:sz w:val="24"/>
                <w:szCs w:val="24"/>
                <w:lang w:eastAsia="lt-LT"/>
              </w:rPr>
              <w:t>604</w:t>
            </w:r>
          </w:p>
        </w:tc>
        <w:tc>
          <w:tcPr>
            <w:tcW w:w="1417" w:type="dxa"/>
            <w:vAlign w:val="center"/>
          </w:tcPr>
          <w:p w14:paraId="382D2743" w14:textId="77777777" w:rsidR="00AD4B3B" w:rsidRPr="00AD4B3B" w:rsidRDefault="00AD4B3B" w:rsidP="00AD4B3B">
            <w:pPr>
              <w:spacing w:after="0"/>
              <w:jc w:val="center"/>
              <w:rPr>
                <w:rFonts w:ascii="Times New Roman" w:eastAsia="Times New Roman" w:hAnsi="Times New Roman" w:cs="Times New Roman"/>
                <w:sz w:val="24"/>
                <w:szCs w:val="24"/>
                <w:lang w:eastAsia="lt-LT"/>
              </w:rPr>
            </w:pPr>
            <w:r w:rsidRPr="00AD4B3B">
              <w:rPr>
                <w:rFonts w:ascii="Times New Roman" w:eastAsia="Times New Roman" w:hAnsi="Times New Roman" w:cs="Times New Roman"/>
                <w:sz w:val="24"/>
                <w:szCs w:val="24"/>
                <w:lang w:eastAsia="lt-LT"/>
              </w:rPr>
              <w:t>622</w:t>
            </w:r>
          </w:p>
        </w:tc>
        <w:tc>
          <w:tcPr>
            <w:tcW w:w="1417" w:type="dxa"/>
            <w:shd w:val="clear" w:color="auto" w:fill="auto"/>
            <w:vAlign w:val="center"/>
          </w:tcPr>
          <w:p w14:paraId="37481121" w14:textId="6BB41575" w:rsidR="00AD4B3B" w:rsidRPr="00AD4B3B" w:rsidRDefault="0064260E" w:rsidP="00AD4B3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600</w:t>
            </w:r>
          </w:p>
        </w:tc>
      </w:tr>
    </w:tbl>
    <w:p w14:paraId="5D162F26" w14:textId="77777777" w:rsidR="00AD4B3B" w:rsidRPr="00AD4B3B" w:rsidRDefault="00AD4B3B" w:rsidP="00AD4B3B">
      <w:pPr>
        <w:spacing w:after="0"/>
        <w:jc w:val="both"/>
        <w:rPr>
          <w:rFonts w:ascii="Times New Roman" w:eastAsia="Calibri" w:hAnsi="Times New Roman" w:cs="Times New Roman"/>
          <w:sz w:val="24"/>
          <w:szCs w:val="24"/>
        </w:rPr>
      </w:pPr>
    </w:p>
    <w:p w14:paraId="0BD6E35A" w14:textId="17184315" w:rsidR="00C842DB" w:rsidRDefault="00C842DB" w:rsidP="00C842DB">
      <w:pPr>
        <w:jc w:val="both"/>
        <w:rPr>
          <w:rFonts w:ascii="Times New Roman" w:hAnsi="Times New Roman" w:cs="Times New Roman"/>
          <w:b/>
          <w:bCs/>
          <w:sz w:val="24"/>
          <w:szCs w:val="24"/>
        </w:rPr>
      </w:pPr>
      <w:r w:rsidRPr="00C842DB">
        <w:rPr>
          <w:rFonts w:ascii="Times New Roman" w:hAnsi="Times New Roman" w:cs="Times New Roman"/>
          <w:b/>
          <w:bCs/>
          <w:sz w:val="24"/>
          <w:szCs w:val="24"/>
        </w:rPr>
        <w:t>Neformalusis vaikų švietimas</w:t>
      </w:r>
    </w:p>
    <w:p w14:paraId="5554A3EA" w14:textId="2538F546" w:rsidR="00C842DB" w:rsidRDefault="00C842DB" w:rsidP="00C842DB">
      <w:pPr>
        <w:spacing w:after="0"/>
        <w:ind w:firstLine="720"/>
        <w:jc w:val="both"/>
        <w:rPr>
          <w:rFonts w:ascii="Times New Roman" w:eastAsia="Calibri" w:hAnsi="Times New Roman" w:cs="Times New Roman"/>
          <w:sz w:val="24"/>
          <w:szCs w:val="24"/>
        </w:rPr>
      </w:pPr>
      <w:r w:rsidRPr="00C842DB">
        <w:rPr>
          <w:rFonts w:ascii="Times New Roman" w:eastAsia="Times New Roman" w:hAnsi="Times New Roman" w:cs="Times New Roman"/>
          <w:sz w:val="24"/>
          <w:szCs w:val="24"/>
          <w:lang w:eastAsia="lt-LT"/>
        </w:rPr>
        <w:t xml:space="preserve">Neformaliojo vaikų švietimo organizavimas rodo, kiek dėmesio yra skiriama mokinių užimtumui ir socializacijai. Neformalusis ugdymas taip pat padeda spręsti jaunų žmonių socialinės integracijos ir nusikalstamumo prevencijos klausimus. </w:t>
      </w:r>
      <w:r w:rsidRPr="00C842DB">
        <w:rPr>
          <w:rFonts w:ascii="Times New Roman" w:eastAsia="Calibri" w:hAnsi="Times New Roman" w:cs="Times New Roman"/>
          <w:sz w:val="24"/>
          <w:szCs w:val="24"/>
        </w:rPr>
        <w:t xml:space="preserve">Joniškio rajono savivaldybėje veikia dvi formalųjį švietimą papildančios ugdymo įstaigos – Joniškio Algimanto Raudonikio meno mokykla ir Joniškio sporto centras. </w:t>
      </w:r>
      <w:r>
        <w:rPr>
          <w:rFonts w:ascii="Times New Roman" w:eastAsia="Calibri" w:hAnsi="Times New Roman" w:cs="Times New Roman"/>
          <w:sz w:val="24"/>
          <w:szCs w:val="24"/>
        </w:rPr>
        <w:t>Mokinių, besimokančių neformaliojo ugdymo įstaigose,</w:t>
      </w:r>
      <w:r w:rsidR="00DF775B">
        <w:rPr>
          <w:rFonts w:ascii="Times New Roman" w:eastAsia="Calibri" w:hAnsi="Times New Roman" w:cs="Times New Roman"/>
          <w:sz w:val="24"/>
          <w:szCs w:val="24"/>
        </w:rPr>
        <w:t xml:space="preserve"> </w:t>
      </w:r>
      <w:r w:rsidR="0064260E">
        <w:rPr>
          <w:rFonts w:ascii="Times New Roman" w:eastAsia="Calibri" w:hAnsi="Times New Roman" w:cs="Times New Roman"/>
          <w:sz w:val="24"/>
          <w:szCs w:val="24"/>
        </w:rPr>
        <w:t xml:space="preserve">šiek tiek augo lyginant su 2020 m. </w:t>
      </w:r>
      <w:r>
        <w:rPr>
          <w:rFonts w:ascii="Times New Roman" w:eastAsia="Calibri" w:hAnsi="Times New Roman" w:cs="Times New Roman"/>
          <w:sz w:val="24"/>
          <w:szCs w:val="24"/>
        </w:rPr>
        <w:t xml:space="preserve">Toliau </w:t>
      </w:r>
      <w:r w:rsidR="00B04AAD">
        <w:rPr>
          <w:rFonts w:ascii="Times New Roman" w:eastAsia="Calibri" w:hAnsi="Times New Roman" w:cs="Times New Roman"/>
          <w:sz w:val="24"/>
          <w:szCs w:val="24"/>
        </w:rPr>
        <w:t>4</w:t>
      </w:r>
      <w:r w:rsidR="0064260E">
        <w:rPr>
          <w:rFonts w:ascii="Times New Roman" w:eastAsia="Calibri" w:hAnsi="Times New Roman" w:cs="Times New Roman"/>
          <w:sz w:val="24"/>
          <w:szCs w:val="24"/>
        </w:rPr>
        <w:t xml:space="preserve"> </w:t>
      </w:r>
      <w:r w:rsidRPr="00C842DB">
        <w:rPr>
          <w:rFonts w:ascii="Times New Roman" w:eastAsia="Calibri" w:hAnsi="Times New Roman" w:cs="Times New Roman"/>
          <w:sz w:val="24"/>
          <w:szCs w:val="24"/>
        </w:rPr>
        <w:t>lentelėje parodytas mokinių skaiči</w:t>
      </w:r>
      <w:r w:rsidR="00AD4B3B">
        <w:rPr>
          <w:rFonts w:ascii="Times New Roman" w:eastAsia="Calibri" w:hAnsi="Times New Roman" w:cs="Times New Roman"/>
          <w:sz w:val="24"/>
          <w:szCs w:val="24"/>
        </w:rPr>
        <w:t>a</w:t>
      </w:r>
      <w:r w:rsidRPr="00C842DB">
        <w:rPr>
          <w:rFonts w:ascii="Times New Roman" w:eastAsia="Calibri" w:hAnsi="Times New Roman" w:cs="Times New Roman"/>
          <w:sz w:val="24"/>
          <w:szCs w:val="24"/>
        </w:rPr>
        <w:t xml:space="preserve">us </w:t>
      </w:r>
      <w:r w:rsidR="00AD4B3B">
        <w:rPr>
          <w:rFonts w:ascii="Times New Roman" w:eastAsia="Calibri" w:hAnsi="Times New Roman" w:cs="Times New Roman"/>
          <w:sz w:val="24"/>
          <w:szCs w:val="24"/>
        </w:rPr>
        <w:t xml:space="preserve">kaita 2019–2021 m. </w:t>
      </w:r>
      <w:r>
        <w:rPr>
          <w:rFonts w:ascii="Times New Roman" w:eastAsia="Calibri" w:hAnsi="Times New Roman" w:cs="Times New Roman"/>
          <w:sz w:val="24"/>
          <w:szCs w:val="24"/>
        </w:rPr>
        <w:t>formalųjį švietimą papildančiose įstaigose:</w:t>
      </w:r>
    </w:p>
    <w:p w14:paraId="0CE35D7E" w14:textId="77777777" w:rsidR="0064260E" w:rsidRDefault="0064260E" w:rsidP="00C842DB">
      <w:pPr>
        <w:spacing w:after="0"/>
        <w:ind w:firstLine="720"/>
        <w:jc w:val="both"/>
        <w:rPr>
          <w:rFonts w:ascii="Times New Roman" w:eastAsia="Calibri" w:hAnsi="Times New Roman" w:cs="Times New Roman"/>
          <w:sz w:val="24"/>
          <w:szCs w:val="24"/>
        </w:rPr>
      </w:pPr>
    </w:p>
    <w:p w14:paraId="43A57C31" w14:textId="06ACB97C" w:rsidR="00C842DB" w:rsidRPr="00C842DB" w:rsidRDefault="00B04AAD" w:rsidP="00B04AA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64260E">
        <w:rPr>
          <w:rFonts w:ascii="Times New Roman" w:eastAsia="Calibri" w:hAnsi="Times New Roman" w:cs="Times New Roman"/>
          <w:sz w:val="24"/>
          <w:szCs w:val="24"/>
        </w:rPr>
        <w:t xml:space="preserve"> lentelė</w:t>
      </w:r>
      <w:r w:rsidR="00C842DB" w:rsidRPr="00C842DB">
        <w:rPr>
          <w:rFonts w:ascii="Times New Roman" w:eastAsia="Calibri" w:hAnsi="Times New Roman" w:cs="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418"/>
        <w:gridCol w:w="1276"/>
      </w:tblGrid>
      <w:tr w:rsidR="00C842DB" w:rsidRPr="00C842DB" w14:paraId="3DFF4C7F" w14:textId="77777777" w:rsidTr="00C716A7">
        <w:tc>
          <w:tcPr>
            <w:tcW w:w="5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AD34C3" w14:textId="77777777" w:rsidR="00C842DB" w:rsidRPr="00C842DB" w:rsidRDefault="00C842DB" w:rsidP="00C842DB">
            <w:pPr>
              <w:spacing w:after="0"/>
              <w:jc w:val="center"/>
              <w:rPr>
                <w:rFonts w:ascii="Times New Roman" w:eastAsia="Calibri" w:hAnsi="Times New Roman" w:cs="Times New Roman"/>
                <w:sz w:val="24"/>
                <w:szCs w:val="24"/>
              </w:rPr>
            </w:pPr>
            <w:r w:rsidRPr="00C842DB">
              <w:rPr>
                <w:rFonts w:ascii="Times New Roman" w:eastAsia="Calibri" w:hAnsi="Times New Roman" w:cs="Times New Roman"/>
                <w:sz w:val="24"/>
                <w:szCs w:val="24"/>
              </w:rPr>
              <w:t>Rodiklis</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8EEE35" w14:textId="0AAA82AD" w:rsidR="00C842DB" w:rsidRPr="00C842DB" w:rsidRDefault="00C842DB" w:rsidP="00C842DB">
            <w:pPr>
              <w:spacing w:after="0"/>
              <w:jc w:val="center"/>
              <w:rPr>
                <w:rFonts w:ascii="Times New Roman" w:eastAsia="Calibri" w:hAnsi="Times New Roman" w:cs="Times New Roman"/>
                <w:sz w:val="24"/>
                <w:szCs w:val="24"/>
              </w:rPr>
            </w:pPr>
            <w:r w:rsidRPr="00C842DB">
              <w:rPr>
                <w:rFonts w:ascii="Times New Roman" w:eastAsia="Calibri" w:hAnsi="Times New Roman" w:cs="Times New Roman"/>
                <w:sz w:val="24"/>
                <w:szCs w:val="24"/>
              </w:rPr>
              <w:t>2019 m.</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550899" w14:textId="4A63EF3A" w:rsidR="00C842DB" w:rsidRPr="00C842DB" w:rsidRDefault="00C842DB" w:rsidP="00C842DB">
            <w:pPr>
              <w:spacing w:after="0"/>
              <w:jc w:val="center"/>
              <w:rPr>
                <w:rFonts w:ascii="Times New Roman" w:eastAsia="Calibri" w:hAnsi="Times New Roman" w:cs="Times New Roman"/>
                <w:sz w:val="24"/>
                <w:szCs w:val="24"/>
              </w:rPr>
            </w:pPr>
            <w:r w:rsidRPr="00C842DB">
              <w:rPr>
                <w:rFonts w:ascii="Times New Roman" w:eastAsia="Calibri" w:hAnsi="Times New Roman" w:cs="Times New Roman"/>
                <w:sz w:val="24"/>
                <w:szCs w:val="24"/>
              </w:rPr>
              <w:t>2020 m.</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3A0C76" w14:textId="4B9CFC35" w:rsidR="00C842DB" w:rsidRPr="00C842DB" w:rsidRDefault="00C842DB" w:rsidP="00C842D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2021 m. </w:t>
            </w:r>
          </w:p>
        </w:tc>
      </w:tr>
      <w:tr w:rsidR="00C842DB" w:rsidRPr="00C842DB" w14:paraId="0FF82B5F" w14:textId="77777777" w:rsidTr="00C716A7">
        <w:tc>
          <w:tcPr>
            <w:tcW w:w="5529" w:type="dxa"/>
            <w:tcBorders>
              <w:top w:val="single" w:sz="4" w:space="0" w:color="auto"/>
              <w:left w:val="single" w:sz="4" w:space="0" w:color="auto"/>
              <w:bottom w:val="single" w:sz="4" w:space="0" w:color="auto"/>
              <w:right w:val="single" w:sz="4" w:space="0" w:color="auto"/>
            </w:tcBorders>
            <w:hideMark/>
          </w:tcPr>
          <w:p w14:paraId="06268AB8" w14:textId="77777777" w:rsidR="00C842DB" w:rsidRPr="00C842DB" w:rsidRDefault="00C842DB" w:rsidP="00C842DB">
            <w:pPr>
              <w:spacing w:after="0" w:line="240" w:lineRule="auto"/>
              <w:rPr>
                <w:rFonts w:ascii="Times New Roman" w:eastAsia="Calibri" w:hAnsi="Times New Roman" w:cs="Times New Roman"/>
                <w:sz w:val="24"/>
                <w:szCs w:val="24"/>
              </w:rPr>
            </w:pPr>
            <w:r w:rsidRPr="00C842DB">
              <w:rPr>
                <w:rFonts w:ascii="Times New Roman" w:eastAsia="Calibri" w:hAnsi="Times New Roman" w:cs="Times New Roman"/>
                <w:sz w:val="24"/>
                <w:szCs w:val="24"/>
              </w:rPr>
              <w:t>Mokosi mokinių Joniškio Algimanto Raudonikio meno mokykloje (skaičius ir proc. nuo bendro mokinių skaičiaus)</w:t>
            </w:r>
          </w:p>
        </w:tc>
        <w:tc>
          <w:tcPr>
            <w:tcW w:w="1275" w:type="dxa"/>
            <w:tcBorders>
              <w:top w:val="single" w:sz="4" w:space="0" w:color="auto"/>
              <w:left w:val="single" w:sz="4" w:space="0" w:color="auto"/>
              <w:bottom w:val="single" w:sz="4" w:space="0" w:color="auto"/>
              <w:right w:val="single" w:sz="4" w:space="0" w:color="auto"/>
            </w:tcBorders>
          </w:tcPr>
          <w:p w14:paraId="76DD6FBD" w14:textId="77777777" w:rsidR="00C842DB" w:rsidRPr="00C716A7" w:rsidRDefault="00C842DB"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472</w:t>
            </w:r>
          </w:p>
          <w:p w14:paraId="0C577F29" w14:textId="3B45BFCB" w:rsidR="00C842DB" w:rsidRPr="00C716A7" w:rsidRDefault="00C842DB" w:rsidP="00C716A7">
            <w:pPr>
              <w:pStyle w:val="Betarp"/>
              <w:jc w:val="center"/>
              <w:rPr>
                <w:rFonts w:ascii="Times New Roman" w:hAnsi="Times New Roman" w:cs="Times New Roman"/>
                <w:sz w:val="24"/>
                <w:szCs w:val="24"/>
                <w:lang w:val="en-US"/>
              </w:rPr>
            </w:pPr>
            <w:r w:rsidRPr="00C716A7">
              <w:rPr>
                <w:rFonts w:ascii="Times New Roman" w:hAnsi="Times New Roman" w:cs="Times New Roman"/>
                <w:sz w:val="24"/>
                <w:szCs w:val="24"/>
              </w:rPr>
              <w:t>20,8 %</w:t>
            </w:r>
          </w:p>
        </w:tc>
        <w:tc>
          <w:tcPr>
            <w:tcW w:w="1418" w:type="dxa"/>
            <w:tcBorders>
              <w:top w:val="single" w:sz="4" w:space="0" w:color="auto"/>
              <w:left w:val="single" w:sz="4" w:space="0" w:color="auto"/>
              <w:bottom w:val="single" w:sz="4" w:space="0" w:color="auto"/>
              <w:right w:val="single" w:sz="4" w:space="0" w:color="auto"/>
            </w:tcBorders>
          </w:tcPr>
          <w:p w14:paraId="7DDBA968" w14:textId="77777777" w:rsidR="00C842DB" w:rsidRPr="00C716A7" w:rsidRDefault="00C842DB"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375</w:t>
            </w:r>
          </w:p>
          <w:p w14:paraId="13B60830" w14:textId="45B33585" w:rsidR="00C842DB" w:rsidRPr="00C716A7" w:rsidRDefault="00C842DB" w:rsidP="00C716A7">
            <w:pPr>
              <w:pStyle w:val="Betarp"/>
              <w:jc w:val="center"/>
              <w:rPr>
                <w:rFonts w:ascii="Times New Roman" w:hAnsi="Times New Roman" w:cs="Times New Roman"/>
                <w:sz w:val="24"/>
                <w:szCs w:val="24"/>
                <w:lang w:val="en-US"/>
              </w:rPr>
            </w:pPr>
            <w:r w:rsidRPr="00C716A7">
              <w:rPr>
                <w:rFonts w:ascii="Times New Roman" w:hAnsi="Times New Roman" w:cs="Times New Roman"/>
                <w:sz w:val="24"/>
                <w:szCs w:val="24"/>
              </w:rPr>
              <w:t>17,0 %</w:t>
            </w:r>
          </w:p>
        </w:tc>
        <w:tc>
          <w:tcPr>
            <w:tcW w:w="1276" w:type="dxa"/>
            <w:tcBorders>
              <w:top w:val="single" w:sz="4" w:space="0" w:color="auto"/>
              <w:left w:val="single" w:sz="4" w:space="0" w:color="auto"/>
              <w:bottom w:val="single" w:sz="4" w:space="0" w:color="auto"/>
              <w:right w:val="single" w:sz="4" w:space="0" w:color="auto"/>
            </w:tcBorders>
          </w:tcPr>
          <w:p w14:paraId="52C4742C" w14:textId="77777777" w:rsidR="00C842DB" w:rsidRPr="00C716A7" w:rsidRDefault="0064260E" w:rsidP="00C716A7">
            <w:pPr>
              <w:pStyle w:val="Betarp"/>
              <w:jc w:val="center"/>
              <w:rPr>
                <w:rFonts w:ascii="Times New Roman" w:hAnsi="Times New Roman" w:cs="Times New Roman"/>
                <w:sz w:val="24"/>
                <w:szCs w:val="24"/>
                <w:lang w:val="en-US"/>
              </w:rPr>
            </w:pPr>
            <w:r w:rsidRPr="00C716A7">
              <w:rPr>
                <w:rFonts w:ascii="Times New Roman" w:hAnsi="Times New Roman" w:cs="Times New Roman"/>
                <w:sz w:val="24"/>
                <w:szCs w:val="24"/>
                <w:lang w:val="en-US"/>
              </w:rPr>
              <w:t>382</w:t>
            </w:r>
          </w:p>
          <w:p w14:paraId="3869C447" w14:textId="1319BA88" w:rsidR="0064260E" w:rsidRPr="00C716A7" w:rsidRDefault="0064260E" w:rsidP="00C716A7">
            <w:pPr>
              <w:pStyle w:val="Betarp"/>
              <w:jc w:val="center"/>
              <w:rPr>
                <w:rFonts w:ascii="Times New Roman" w:hAnsi="Times New Roman" w:cs="Times New Roman"/>
                <w:sz w:val="24"/>
                <w:szCs w:val="24"/>
                <w:lang w:val="en-US"/>
              </w:rPr>
            </w:pPr>
            <w:r w:rsidRPr="00C716A7">
              <w:rPr>
                <w:rFonts w:ascii="Times New Roman" w:hAnsi="Times New Roman" w:cs="Times New Roman"/>
                <w:sz w:val="24"/>
                <w:szCs w:val="24"/>
                <w:lang w:val="en-US"/>
              </w:rPr>
              <w:t xml:space="preserve">19,05 </w:t>
            </w:r>
            <w:r w:rsidRPr="00C716A7">
              <w:rPr>
                <w:rFonts w:ascii="Times New Roman" w:hAnsi="Times New Roman" w:cs="Times New Roman"/>
                <w:sz w:val="24"/>
                <w:szCs w:val="24"/>
              </w:rPr>
              <w:t>%</w:t>
            </w:r>
          </w:p>
        </w:tc>
      </w:tr>
      <w:tr w:rsidR="00C842DB" w:rsidRPr="00C842DB" w14:paraId="648BA882" w14:textId="77777777" w:rsidTr="00C716A7">
        <w:tc>
          <w:tcPr>
            <w:tcW w:w="5529" w:type="dxa"/>
            <w:tcBorders>
              <w:top w:val="single" w:sz="4" w:space="0" w:color="auto"/>
              <w:left w:val="single" w:sz="4" w:space="0" w:color="auto"/>
              <w:bottom w:val="single" w:sz="4" w:space="0" w:color="auto"/>
              <w:right w:val="single" w:sz="4" w:space="0" w:color="auto"/>
            </w:tcBorders>
            <w:hideMark/>
          </w:tcPr>
          <w:p w14:paraId="3EA4A491" w14:textId="77777777" w:rsidR="00C842DB" w:rsidRPr="00C842DB" w:rsidRDefault="00C842DB" w:rsidP="00C842DB">
            <w:pPr>
              <w:spacing w:after="0" w:line="240" w:lineRule="auto"/>
              <w:rPr>
                <w:rFonts w:ascii="Times New Roman" w:eastAsia="Calibri" w:hAnsi="Times New Roman" w:cs="Times New Roman"/>
                <w:sz w:val="24"/>
                <w:szCs w:val="24"/>
              </w:rPr>
            </w:pPr>
            <w:r w:rsidRPr="00C842DB">
              <w:rPr>
                <w:rFonts w:ascii="Times New Roman" w:eastAsia="Calibri" w:hAnsi="Times New Roman" w:cs="Times New Roman"/>
                <w:sz w:val="24"/>
                <w:szCs w:val="24"/>
              </w:rPr>
              <w:t>Mokosi mokinių Joniškio sporto centre (skaičius ir proc. nuo bendro mokinių skaičiaus)</w:t>
            </w:r>
          </w:p>
        </w:tc>
        <w:tc>
          <w:tcPr>
            <w:tcW w:w="1275" w:type="dxa"/>
            <w:tcBorders>
              <w:top w:val="single" w:sz="4" w:space="0" w:color="auto"/>
              <w:left w:val="single" w:sz="4" w:space="0" w:color="auto"/>
              <w:bottom w:val="single" w:sz="4" w:space="0" w:color="auto"/>
              <w:right w:val="single" w:sz="4" w:space="0" w:color="auto"/>
            </w:tcBorders>
          </w:tcPr>
          <w:p w14:paraId="071908B6" w14:textId="77777777" w:rsidR="00C842DB" w:rsidRPr="00C716A7" w:rsidRDefault="00C842DB"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442</w:t>
            </w:r>
          </w:p>
          <w:p w14:paraId="3A35C8C5" w14:textId="6B70C9EF" w:rsidR="00C842DB" w:rsidRPr="00C716A7" w:rsidRDefault="00C842DB"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18,5 %</w:t>
            </w:r>
          </w:p>
        </w:tc>
        <w:tc>
          <w:tcPr>
            <w:tcW w:w="1418" w:type="dxa"/>
            <w:tcBorders>
              <w:top w:val="single" w:sz="4" w:space="0" w:color="auto"/>
              <w:left w:val="single" w:sz="4" w:space="0" w:color="auto"/>
              <w:bottom w:val="single" w:sz="4" w:space="0" w:color="auto"/>
              <w:right w:val="single" w:sz="4" w:space="0" w:color="auto"/>
            </w:tcBorders>
          </w:tcPr>
          <w:p w14:paraId="60FFC82A" w14:textId="77777777" w:rsidR="00C842DB" w:rsidRPr="00C716A7" w:rsidRDefault="00C842DB"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459</w:t>
            </w:r>
          </w:p>
          <w:p w14:paraId="3C63EF21" w14:textId="0112FD58" w:rsidR="00C842DB" w:rsidRPr="00C716A7" w:rsidRDefault="00C842DB"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20,8 %</w:t>
            </w:r>
          </w:p>
        </w:tc>
        <w:tc>
          <w:tcPr>
            <w:tcW w:w="1276" w:type="dxa"/>
            <w:tcBorders>
              <w:top w:val="single" w:sz="4" w:space="0" w:color="auto"/>
              <w:left w:val="single" w:sz="4" w:space="0" w:color="auto"/>
              <w:bottom w:val="single" w:sz="4" w:space="0" w:color="auto"/>
              <w:right w:val="single" w:sz="4" w:space="0" w:color="auto"/>
            </w:tcBorders>
          </w:tcPr>
          <w:p w14:paraId="259B5C27" w14:textId="77777777" w:rsidR="00C842DB" w:rsidRPr="00C716A7" w:rsidRDefault="0064260E"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455</w:t>
            </w:r>
          </w:p>
          <w:p w14:paraId="0D19D898" w14:textId="04C7320E" w:rsidR="0064260E" w:rsidRPr="00C716A7" w:rsidRDefault="0064260E" w:rsidP="00C716A7">
            <w:pPr>
              <w:pStyle w:val="Betarp"/>
              <w:jc w:val="center"/>
              <w:rPr>
                <w:rFonts w:ascii="Times New Roman" w:hAnsi="Times New Roman" w:cs="Times New Roman"/>
                <w:sz w:val="24"/>
                <w:szCs w:val="24"/>
              </w:rPr>
            </w:pPr>
            <w:r w:rsidRPr="00C716A7">
              <w:rPr>
                <w:rFonts w:ascii="Times New Roman" w:hAnsi="Times New Roman" w:cs="Times New Roman"/>
                <w:sz w:val="24"/>
                <w:szCs w:val="24"/>
              </w:rPr>
              <w:t>22,69 %</w:t>
            </w:r>
          </w:p>
        </w:tc>
      </w:tr>
    </w:tbl>
    <w:p w14:paraId="18D2434A" w14:textId="77777777" w:rsidR="00C842DB" w:rsidRPr="00C842DB" w:rsidRDefault="00C842DB" w:rsidP="00C842DB">
      <w:pPr>
        <w:jc w:val="both"/>
        <w:rPr>
          <w:rFonts w:ascii="Times New Roman" w:hAnsi="Times New Roman" w:cs="Times New Roman"/>
          <w:b/>
          <w:bCs/>
          <w:sz w:val="24"/>
          <w:szCs w:val="24"/>
        </w:rPr>
      </w:pPr>
    </w:p>
    <w:p w14:paraId="1966C414" w14:textId="183F13F6" w:rsidR="00421D7D" w:rsidRPr="00421D7D" w:rsidRDefault="00421D7D" w:rsidP="00421D7D">
      <w:pPr>
        <w:jc w:val="both"/>
        <w:rPr>
          <w:rFonts w:ascii="Times New Roman" w:hAnsi="Times New Roman" w:cs="Times New Roman"/>
          <w:b/>
          <w:color w:val="000000"/>
          <w:sz w:val="24"/>
          <w:szCs w:val="24"/>
        </w:rPr>
      </w:pPr>
      <w:r w:rsidRPr="00421D7D">
        <w:rPr>
          <w:rFonts w:ascii="Times New Roman" w:hAnsi="Times New Roman" w:cs="Times New Roman"/>
          <w:b/>
          <w:color w:val="000000"/>
          <w:sz w:val="24"/>
          <w:szCs w:val="24"/>
        </w:rPr>
        <w:t>Mokinių užimtumas atostogų metu</w:t>
      </w:r>
    </w:p>
    <w:p w14:paraId="6FC6D185" w14:textId="144D5A05" w:rsidR="00D752A4" w:rsidRPr="00421D7D" w:rsidRDefault="00421D7D" w:rsidP="00AE13D2">
      <w:pPr>
        <w:ind w:firstLine="1296"/>
        <w:jc w:val="both"/>
        <w:rPr>
          <w:rFonts w:ascii="Times New Roman" w:hAnsi="Times New Roman" w:cs="Times New Roman"/>
          <w:bCs/>
          <w:color w:val="000000"/>
          <w:sz w:val="24"/>
          <w:szCs w:val="24"/>
        </w:rPr>
      </w:pPr>
      <w:r w:rsidRPr="00421D7D">
        <w:rPr>
          <w:rFonts w:ascii="Times New Roman" w:hAnsi="Times New Roman" w:cs="Times New Roman"/>
          <w:bCs/>
          <w:color w:val="000000"/>
          <w:sz w:val="24"/>
          <w:szCs w:val="24"/>
        </w:rPr>
        <w:t>20</w:t>
      </w:r>
      <w:r>
        <w:rPr>
          <w:rFonts w:ascii="Times New Roman" w:hAnsi="Times New Roman" w:cs="Times New Roman"/>
          <w:bCs/>
          <w:color w:val="000000"/>
          <w:sz w:val="24"/>
          <w:szCs w:val="24"/>
        </w:rPr>
        <w:t>21</w:t>
      </w:r>
      <w:r w:rsidRPr="00421D7D">
        <w:rPr>
          <w:rFonts w:ascii="Times New Roman" w:hAnsi="Times New Roman" w:cs="Times New Roman"/>
          <w:bCs/>
          <w:color w:val="000000"/>
          <w:sz w:val="24"/>
          <w:szCs w:val="24"/>
        </w:rPr>
        <w:t xml:space="preserve"> metais švietimo</w:t>
      </w:r>
      <w:r>
        <w:rPr>
          <w:rFonts w:ascii="Times New Roman" w:hAnsi="Times New Roman" w:cs="Times New Roman"/>
          <w:bCs/>
          <w:color w:val="000000"/>
          <w:sz w:val="24"/>
          <w:szCs w:val="24"/>
        </w:rPr>
        <w:t>, kultūros</w:t>
      </w:r>
      <w:r w:rsidRPr="00421D7D">
        <w:rPr>
          <w:rFonts w:ascii="Times New Roman" w:hAnsi="Times New Roman" w:cs="Times New Roman"/>
          <w:bCs/>
          <w:color w:val="000000"/>
          <w:sz w:val="24"/>
          <w:szCs w:val="24"/>
        </w:rPr>
        <w:t xml:space="preserve"> įstaigos</w:t>
      </w:r>
      <w:r>
        <w:rPr>
          <w:rFonts w:ascii="Times New Roman" w:hAnsi="Times New Roman" w:cs="Times New Roman"/>
          <w:bCs/>
          <w:color w:val="000000"/>
          <w:sz w:val="24"/>
          <w:szCs w:val="24"/>
        </w:rPr>
        <w:t>, laisvieji mokytojai ir kiti NVŠ teikėjai rajono</w:t>
      </w:r>
      <w:r w:rsidRPr="00421D7D">
        <w:rPr>
          <w:rFonts w:ascii="Times New Roman" w:hAnsi="Times New Roman" w:cs="Times New Roman"/>
          <w:bCs/>
          <w:color w:val="000000"/>
          <w:sz w:val="24"/>
          <w:szCs w:val="24"/>
        </w:rPr>
        <w:t xml:space="preserve"> vaikams surengė </w:t>
      </w:r>
      <w:r w:rsidR="001E7E99">
        <w:rPr>
          <w:rFonts w:ascii="Times New Roman" w:hAnsi="Times New Roman" w:cs="Times New Roman"/>
          <w:bCs/>
          <w:color w:val="000000"/>
          <w:sz w:val="24"/>
          <w:szCs w:val="24"/>
        </w:rPr>
        <w:t>18</w:t>
      </w:r>
      <w:r w:rsidRPr="00421D7D">
        <w:rPr>
          <w:rFonts w:ascii="Times New Roman" w:hAnsi="Times New Roman" w:cs="Times New Roman"/>
          <w:bCs/>
          <w:color w:val="000000"/>
          <w:sz w:val="24"/>
          <w:szCs w:val="24"/>
        </w:rPr>
        <w:t xml:space="preserve"> įvairaus pobūdžio vasaros poilsio stovyklas (kūrybines, </w:t>
      </w:r>
      <w:r>
        <w:rPr>
          <w:rFonts w:ascii="Times New Roman" w:hAnsi="Times New Roman" w:cs="Times New Roman"/>
          <w:bCs/>
          <w:color w:val="000000"/>
          <w:sz w:val="24"/>
          <w:szCs w:val="24"/>
        </w:rPr>
        <w:t>turistines, sporto</w:t>
      </w:r>
      <w:r w:rsidRPr="00421D7D">
        <w:rPr>
          <w:rFonts w:ascii="Times New Roman" w:hAnsi="Times New Roman" w:cs="Times New Roman"/>
          <w:bCs/>
          <w:color w:val="000000"/>
          <w:sz w:val="24"/>
          <w:szCs w:val="24"/>
        </w:rPr>
        <w:t xml:space="preserve"> ir kt.). Jose pabuvojo per </w:t>
      </w:r>
      <w:r w:rsidR="001E7E99">
        <w:rPr>
          <w:rFonts w:ascii="Times New Roman" w:hAnsi="Times New Roman" w:cs="Times New Roman"/>
          <w:bCs/>
          <w:color w:val="000000"/>
          <w:sz w:val="24"/>
          <w:szCs w:val="24"/>
        </w:rPr>
        <w:t>434</w:t>
      </w:r>
      <w:r>
        <w:rPr>
          <w:rFonts w:ascii="Times New Roman" w:hAnsi="Times New Roman" w:cs="Times New Roman"/>
          <w:bCs/>
          <w:color w:val="000000"/>
          <w:sz w:val="24"/>
          <w:szCs w:val="24"/>
        </w:rPr>
        <w:t xml:space="preserve">  </w:t>
      </w:r>
      <w:r w:rsidRPr="00421D7D">
        <w:rPr>
          <w:rFonts w:ascii="Times New Roman" w:hAnsi="Times New Roman" w:cs="Times New Roman"/>
          <w:bCs/>
          <w:color w:val="000000"/>
          <w:sz w:val="24"/>
          <w:szCs w:val="24"/>
        </w:rPr>
        <w:t xml:space="preserve">mokinių. Šioms stovykloms buvo skirtas </w:t>
      </w:r>
      <w:r>
        <w:rPr>
          <w:rFonts w:ascii="Times New Roman" w:hAnsi="Times New Roman" w:cs="Times New Roman"/>
          <w:bCs/>
          <w:color w:val="000000"/>
          <w:sz w:val="24"/>
          <w:szCs w:val="24"/>
        </w:rPr>
        <w:t>s</w:t>
      </w:r>
      <w:r w:rsidRPr="00421D7D">
        <w:rPr>
          <w:rFonts w:ascii="Times New Roman" w:hAnsi="Times New Roman" w:cs="Times New Roman"/>
          <w:bCs/>
          <w:color w:val="000000"/>
          <w:sz w:val="24"/>
          <w:szCs w:val="24"/>
        </w:rPr>
        <w:t>avivaldybės finansavimas (</w:t>
      </w:r>
      <w:r>
        <w:rPr>
          <w:rFonts w:ascii="Times New Roman" w:hAnsi="Times New Roman" w:cs="Times New Roman"/>
          <w:bCs/>
          <w:color w:val="000000"/>
          <w:sz w:val="24"/>
          <w:szCs w:val="24"/>
        </w:rPr>
        <w:t xml:space="preserve">atostogų programoms finansuoti skirta </w:t>
      </w:r>
      <w:r w:rsidR="001E7E99" w:rsidRPr="001E7E99">
        <w:rPr>
          <w:rFonts w:ascii="Times New Roman" w:hAnsi="Times New Roman" w:cs="Times New Roman"/>
          <w:bCs/>
          <w:color w:val="000000"/>
          <w:sz w:val="24"/>
          <w:szCs w:val="24"/>
        </w:rPr>
        <w:t>44521,45</w:t>
      </w:r>
      <w:r w:rsidR="001E7E99">
        <w:rPr>
          <w:rFonts w:ascii="Times New Roman" w:hAnsi="Times New Roman" w:cs="Times New Roman"/>
          <w:bCs/>
          <w:color w:val="000000"/>
          <w:sz w:val="24"/>
          <w:szCs w:val="24"/>
        </w:rPr>
        <w:t xml:space="preserve"> </w:t>
      </w:r>
      <w:r w:rsidR="001E7E99" w:rsidRPr="001E7E99">
        <w:rPr>
          <w:rFonts w:ascii="Times New Roman" w:hAnsi="Times New Roman" w:cs="Times New Roman"/>
          <w:bCs/>
          <w:color w:val="000000"/>
          <w:sz w:val="24"/>
          <w:szCs w:val="24"/>
        </w:rPr>
        <w:t xml:space="preserve"> </w:t>
      </w:r>
      <w:r w:rsidRPr="00421D7D">
        <w:rPr>
          <w:rFonts w:ascii="Times New Roman" w:hAnsi="Times New Roman" w:cs="Times New Roman"/>
          <w:bCs/>
          <w:color w:val="000000"/>
          <w:sz w:val="24"/>
          <w:szCs w:val="24"/>
        </w:rPr>
        <w:t xml:space="preserve">tūkst. Eur). </w:t>
      </w:r>
      <w:r w:rsidR="001E7E99">
        <w:rPr>
          <w:rFonts w:ascii="Times New Roman" w:hAnsi="Times New Roman" w:cs="Times New Roman"/>
          <w:bCs/>
          <w:color w:val="000000"/>
          <w:sz w:val="24"/>
          <w:szCs w:val="24"/>
        </w:rPr>
        <w:t xml:space="preserve">Mokinių užimtumo užtikrinimas atostogų metu yra labai svarbus vaikų socializacijai, taip pat tai efektyvi smurto, patyčių bei netinkamo elgesio prevencijos forma. Atostogų programos siūlė vaikams įdomias, jų poreikius ir amžių atitinkančias </w:t>
      </w:r>
      <w:r w:rsidR="001E7E99">
        <w:rPr>
          <w:rFonts w:ascii="Times New Roman" w:hAnsi="Times New Roman" w:cs="Times New Roman"/>
          <w:bCs/>
          <w:color w:val="000000"/>
          <w:sz w:val="24"/>
          <w:szCs w:val="24"/>
        </w:rPr>
        <w:lastRenderedPageBreak/>
        <w:t xml:space="preserve">veiklas, skatino fizinį aktyvumą, padėjo įveikti neigiamas socialinio gyvenimo bei emocinės būsenos pasekmes dėl užsitęsusios pandemijos. </w:t>
      </w:r>
    </w:p>
    <w:p w14:paraId="3C277089" w14:textId="7683322D" w:rsidR="00D75D42" w:rsidRDefault="00D75D42" w:rsidP="00AE13D2">
      <w:pPr>
        <w:pStyle w:val="Betarp"/>
        <w:spacing w:line="276" w:lineRule="auto"/>
        <w:jc w:val="both"/>
        <w:rPr>
          <w:rFonts w:ascii="Times New Roman" w:hAnsi="Times New Roman" w:cs="Times New Roman"/>
          <w:b/>
          <w:bCs/>
          <w:sz w:val="24"/>
          <w:szCs w:val="24"/>
        </w:rPr>
      </w:pPr>
      <w:r w:rsidRPr="00AE13D2">
        <w:rPr>
          <w:rFonts w:ascii="Times New Roman" w:hAnsi="Times New Roman" w:cs="Times New Roman"/>
          <w:b/>
          <w:bCs/>
          <w:sz w:val="24"/>
          <w:szCs w:val="24"/>
        </w:rPr>
        <w:t>Projektai ugdymo ir vadybos procesams tobulinti</w:t>
      </w:r>
    </w:p>
    <w:p w14:paraId="06FDBDD6" w14:textId="77777777" w:rsidR="00AE13D2" w:rsidRPr="00AE13D2" w:rsidRDefault="00AE13D2" w:rsidP="00AE13D2">
      <w:pPr>
        <w:pStyle w:val="Betarp"/>
        <w:spacing w:line="276" w:lineRule="auto"/>
        <w:jc w:val="both"/>
        <w:rPr>
          <w:rFonts w:ascii="Times New Roman" w:hAnsi="Times New Roman" w:cs="Times New Roman"/>
          <w:b/>
          <w:bCs/>
          <w:sz w:val="24"/>
          <w:szCs w:val="24"/>
        </w:rPr>
      </w:pPr>
    </w:p>
    <w:p w14:paraId="127CE68A" w14:textId="77777777" w:rsidR="00AE13D2" w:rsidRPr="00AE13D2" w:rsidRDefault="00D75D42" w:rsidP="00AE13D2">
      <w:pPr>
        <w:pStyle w:val="Betarp"/>
        <w:spacing w:line="276" w:lineRule="auto"/>
        <w:ind w:firstLine="1296"/>
        <w:jc w:val="both"/>
        <w:rPr>
          <w:rFonts w:ascii="Times New Roman" w:hAnsi="Times New Roman" w:cs="Times New Roman"/>
          <w:bCs/>
          <w:sz w:val="24"/>
          <w:szCs w:val="24"/>
        </w:rPr>
      </w:pPr>
      <w:r w:rsidRPr="00AE13D2">
        <w:rPr>
          <w:rFonts w:ascii="Times New Roman" w:hAnsi="Times New Roman" w:cs="Times New Roman"/>
          <w:bCs/>
          <w:sz w:val="24"/>
          <w:szCs w:val="24"/>
        </w:rPr>
        <w:t xml:space="preserve">2021 m. baigtas vykdyti nacionalinis projektas „Lyderių laikas 3“, kuriame aktyviai dalyvavo </w:t>
      </w:r>
      <w:r w:rsidR="00C6084A" w:rsidRPr="00AE13D2">
        <w:rPr>
          <w:rFonts w:ascii="Times New Roman" w:hAnsi="Times New Roman" w:cs="Times New Roman"/>
          <w:bCs/>
          <w:sz w:val="24"/>
          <w:szCs w:val="24"/>
        </w:rPr>
        <w:t>7</w:t>
      </w:r>
      <w:r w:rsidRPr="00AE13D2">
        <w:rPr>
          <w:rFonts w:ascii="Times New Roman" w:hAnsi="Times New Roman" w:cs="Times New Roman"/>
          <w:bCs/>
          <w:sz w:val="24"/>
          <w:szCs w:val="24"/>
        </w:rPr>
        <w:t xml:space="preserve"> rajono ugdymo įstaigos. Įvairiose projekto veiklose buvo kviečiami dalyvauti visų rajono ugdymo įstaigų pedagogai. </w:t>
      </w:r>
      <w:r w:rsidR="00C6084A" w:rsidRPr="00AE13D2">
        <w:rPr>
          <w:rFonts w:ascii="Times New Roman" w:hAnsi="Times New Roman" w:cs="Times New Roman"/>
          <w:bCs/>
          <w:sz w:val="24"/>
          <w:szCs w:val="24"/>
        </w:rPr>
        <w:t xml:space="preserve">Pagrindinė grupė, kūrusi pokyčio projektą savivaldybėje, buvo septynių mokyklų, dalyvaujančių projekte, atstovai (Joniškio ,,Aušros“ gimnazijos, Joniškio ,,Saulės“ pagrindinės mokyklos, Joniškio Mato Slančiausko progimnazijos, Joniškio r. Gasčiūnų pagrindinės mokyklos, Joniškio r. Kriukų pagrindinės mokyklos, Joniškio Algimanto Raudonikio meno mokyklos ir Joniškio žemės ūkio mokyklos). </w:t>
      </w:r>
    </w:p>
    <w:p w14:paraId="4026F2B9" w14:textId="77777777" w:rsidR="00AE13D2" w:rsidRPr="00AE13D2" w:rsidRDefault="00C6084A" w:rsidP="00AE13D2">
      <w:pPr>
        <w:pStyle w:val="Betarp"/>
        <w:spacing w:line="276" w:lineRule="auto"/>
        <w:ind w:firstLine="1296"/>
        <w:jc w:val="both"/>
        <w:rPr>
          <w:rFonts w:ascii="Times New Roman" w:hAnsi="Times New Roman" w:cs="Times New Roman"/>
          <w:sz w:val="24"/>
          <w:szCs w:val="24"/>
        </w:rPr>
      </w:pPr>
      <w:r w:rsidRPr="00AE13D2">
        <w:rPr>
          <w:rFonts w:ascii="Times New Roman" w:hAnsi="Times New Roman" w:cs="Times New Roman"/>
          <w:bCs/>
          <w:sz w:val="24"/>
          <w:szCs w:val="24"/>
        </w:rPr>
        <w:t>Komandos veikloje dalyvavo mokyklų direktoriai, pavaduotojos, mokytojai, švietimo skyriaus atstovai. Kiekvienos mokyklos atstovas savo ugdymo įstaigoje subūrė iniciatyvines komandas, pavadintas LL3+, kurios veiklas įgyvendino mokyklose. Mokyklose suburtos iniciatyvinės LL3+ komandos, sudarytos iš įvairių dalykų mokytojų. Priklausomai nuo mokyklos dydžio, LL3+ komandas sudar</w:t>
      </w:r>
      <w:r w:rsidR="00FB7B2C" w:rsidRPr="00AE13D2">
        <w:rPr>
          <w:rFonts w:ascii="Times New Roman" w:hAnsi="Times New Roman" w:cs="Times New Roman"/>
          <w:bCs/>
          <w:sz w:val="24"/>
          <w:szCs w:val="24"/>
        </w:rPr>
        <w:t>ė</w:t>
      </w:r>
      <w:r w:rsidRPr="00AE13D2">
        <w:rPr>
          <w:rFonts w:ascii="Times New Roman" w:hAnsi="Times New Roman" w:cs="Times New Roman"/>
          <w:bCs/>
          <w:sz w:val="24"/>
          <w:szCs w:val="24"/>
        </w:rPr>
        <w:t xml:space="preserve"> 6 mokytojai. Šių grupių veikla skleidė mokyklose žinią apie projektą, jo tikslą, teikiamą naudą. Šių komandų nariai dalyvavo renginiuose, dalijosi savo patirtimi, taikė bendradarbiavimo praktikas mokyklose.</w:t>
      </w:r>
      <w:r w:rsidRPr="00AE13D2">
        <w:rPr>
          <w:rFonts w:ascii="Times New Roman" w:hAnsi="Times New Roman" w:cs="Times New Roman"/>
          <w:sz w:val="24"/>
          <w:szCs w:val="24"/>
        </w:rPr>
        <w:t xml:space="preserve"> </w:t>
      </w:r>
    </w:p>
    <w:p w14:paraId="2918E6D9" w14:textId="77777777" w:rsidR="00AE13D2" w:rsidRPr="00AE13D2" w:rsidRDefault="00F465DE" w:rsidP="00AE13D2">
      <w:pPr>
        <w:pStyle w:val="Betarp"/>
        <w:spacing w:line="276" w:lineRule="auto"/>
        <w:ind w:firstLine="1296"/>
        <w:jc w:val="both"/>
        <w:rPr>
          <w:rFonts w:ascii="Times New Roman" w:hAnsi="Times New Roman" w:cs="Times New Roman"/>
          <w:bCs/>
          <w:sz w:val="24"/>
          <w:szCs w:val="24"/>
        </w:rPr>
      </w:pPr>
      <w:r w:rsidRPr="00AE13D2">
        <w:rPr>
          <w:rFonts w:ascii="Times New Roman" w:hAnsi="Times New Roman" w:cs="Times New Roman"/>
          <w:bCs/>
          <w:sz w:val="24"/>
          <w:szCs w:val="24"/>
        </w:rPr>
        <w:t xml:space="preserve">Įgyvendinant pokyčio projektą siekta  keisti požiūrį į bendravimą ir bendradarbiavimą, juos suvokiant kaip veiklą, pagrįstą etišku elgesiu ir efektyviu dalijimusi patirtimi. Pirmiausia pokyčio projektas orientavosi į pamoką, jos kaitą, tikint, kad skatinant mokinius bendradarbiauti, juos įtraukiant į aktyvų dalyvavimą pamokoje, gerėja mokinių savijauta, jie linkę įsitraukti į veiklą, kelti mokymosi tikslus, jų siekti. Organizuojant įvairius mokymus, dalyvaujant Kūrybinės komandos konsultacijose, planuojant aktyvias pamokas mokyklose siekta: mokyti mokytojus ir mokinius nebijoti klysti (palankios atmosferos kūrimas); mokyti žinias susieti tarpusavyje, ugdyti struktūrinį mąstymą; skatinti prisiimti atsakomybę už pasiekimus; mokytojas ir mokinys iškelia tikslą; pamokoje vyrauja mokinių, o ne mokytojų klausimai, dialogas. </w:t>
      </w:r>
    </w:p>
    <w:p w14:paraId="13023A40" w14:textId="313A6A9D" w:rsidR="00C6084A" w:rsidRPr="00AE13D2" w:rsidRDefault="00C6084A" w:rsidP="00AE13D2">
      <w:pPr>
        <w:pStyle w:val="Betarp"/>
        <w:spacing w:line="276" w:lineRule="auto"/>
        <w:ind w:firstLine="1296"/>
        <w:jc w:val="both"/>
        <w:rPr>
          <w:rFonts w:ascii="Times New Roman" w:hAnsi="Times New Roman" w:cs="Times New Roman"/>
          <w:bCs/>
          <w:sz w:val="24"/>
          <w:szCs w:val="24"/>
        </w:rPr>
      </w:pPr>
      <w:r w:rsidRPr="00AE13D2">
        <w:rPr>
          <w:rFonts w:ascii="Times New Roman" w:hAnsi="Times New Roman" w:cs="Times New Roman"/>
          <w:bCs/>
          <w:sz w:val="24"/>
          <w:szCs w:val="24"/>
        </w:rPr>
        <w:t>Visos projekto metu vykusios veiklos prisidėjo prie švietimo bendruomenės profesinio kapitalo augimo, sudarė sąlygas tobulinti profesines, asmenines kompetencijas, leido palaikyti bendradarbiavimu grįstus skirtingų rajono ugdymo įstaigų bendruomenių ryšius.</w:t>
      </w:r>
    </w:p>
    <w:p w14:paraId="66D891C7" w14:textId="0BBDE096" w:rsidR="003055BA" w:rsidRDefault="00891364" w:rsidP="003055BA">
      <w:pPr>
        <w:pStyle w:val="Betarp"/>
        <w:spacing w:line="276" w:lineRule="auto"/>
        <w:ind w:firstLine="1296"/>
        <w:jc w:val="both"/>
        <w:rPr>
          <w:rFonts w:ascii="Times New Roman" w:hAnsi="Times New Roman" w:cs="Times New Roman"/>
          <w:bCs/>
          <w:sz w:val="24"/>
          <w:szCs w:val="24"/>
        </w:rPr>
      </w:pPr>
      <w:r w:rsidRPr="00AE13D2">
        <w:rPr>
          <w:rFonts w:ascii="Times New Roman" w:hAnsi="Times New Roman" w:cs="Times New Roman"/>
          <w:bCs/>
          <w:sz w:val="24"/>
          <w:szCs w:val="24"/>
        </w:rPr>
        <w:t xml:space="preserve">2021 m. 3 rajono ugdymo įstaigos (Mato </w:t>
      </w:r>
      <w:r w:rsidR="007603EF" w:rsidRPr="00AE13D2">
        <w:rPr>
          <w:rFonts w:ascii="Times New Roman" w:hAnsi="Times New Roman" w:cs="Times New Roman"/>
          <w:bCs/>
          <w:sz w:val="24"/>
          <w:szCs w:val="24"/>
        </w:rPr>
        <w:t>Slančiausko</w:t>
      </w:r>
      <w:r w:rsidRPr="00AE13D2">
        <w:rPr>
          <w:rFonts w:ascii="Times New Roman" w:hAnsi="Times New Roman" w:cs="Times New Roman"/>
          <w:bCs/>
          <w:sz w:val="24"/>
          <w:szCs w:val="24"/>
        </w:rPr>
        <w:t xml:space="preserve"> progimnazija, Kriukų pagrindinė mokykla ir Gataučių Marcės Katiliūtės mokykla) dalyvavo projekto „Kokybės krepšelis“ veiklose</w:t>
      </w:r>
      <w:r w:rsidR="003055BA">
        <w:rPr>
          <w:rFonts w:ascii="Times New Roman" w:hAnsi="Times New Roman" w:cs="Times New Roman"/>
          <w:bCs/>
          <w:sz w:val="24"/>
          <w:szCs w:val="24"/>
        </w:rPr>
        <w:t xml:space="preserve">: atlikto mokyklos rizikos veiksnių analizę, ieškojo veiklos tobulinimo galimybių. Mokyklos </w:t>
      </w:r>
      <w:r w:rsidRPr="00AE13D2">
        <w:rPr>
          <w:rFonts w:ascii="Times New Roman" w:hAnsi="Times New Roman" w:cs="Times New Roman"/>
          <w:bCs/>
          <w:sz w:val="24"/>
          <w:szCs w:val="24"/>
        </w:rPr>
        <w:t xml:space="preserve">parengė veiklos tobulinimo planus ir juos įgyvendina. </w:t>
      </w:r>
      <w:r w:rsidR="00FE17A4">
        <w:rPr>
          <w:rFonts w:ascii="Times New Roman" w:hAnsi="Times New Roman" w:cs="Times New Roman"/>
          <w:bCs/>
          <w:sz w:val="24"/>
          <w:szCs w:val="24"/>
        </w:rPr>
        <w:t xml:space="preserve">Kokybės krepšelio veiklomis mokyklos siekia gerinti </w:t>
      </w:r>
      <w:r w:rsidR="00FE17A4" w:rsidRPr="00FE17A4">
        <w:rPr>
          <w:rFonts w:ascii="Times New Roman" w:hAnsi="Times New Roman" w:cs="Times New Roman"/>
          <w:bCs/>
          <w:sz w:val="24"/>
          <w:szCs w:val="24"/>
        </w:rPr>
        <w:t>mokinių pasiekim</w:t>
      </w:r>
      <w:r w:rsidR="00FE17A4">
        <w:rPr>
          <w:rFonts w:ascii="Times New Roman" w:hAnsi="Times New Roman" w:cs="Times New Roman"/>
          <w:bCs/>
          <w:sz w:val="24"/>
          <w:szCs w:val="24"/>
        </w:rPr>
        <w:t>us</w:t>
      </w:r>
      <w:r w:rsidR="00FE17A4" w:rsidRPr="00FE17A4">
        <w:rPr>
          <w:rFonts w:ascii="Times New Roman" w:hAnsi="Times New Roman" w:cs="Times New Roman"/>
          <w:bCs/>
          <w:sz w:val="24"/>
          <w:szCs w:val="24"/>
        </w:rPr>
        <w:t>, tikslines ,,Kokybės krepšelio“ lėšas nukreipiant mokinių konsultacijoms, pagalb</w:t>
      </w:r>
      <w:r w:rsidR="00FE17A4">
        <w:rPr>
          <w:rFonts w:ascii="Times New Roman" w:hAnsi="Times New Roman" w:cs="Times New Roman"/>
          <w:bCs/>
          <w:sz w:val="24"/>
          <w:szCs w:val="24"/>
        </w:rPr>
        <w:t>ai teikti</w:t>
      </w:r>
      <w:r w:rsidR="00FE17A4" w:rsidRPr="00FE17A4">
        <w:rPr>
          <w:rFonts w:ascii="Times New Roman" w:hAnsi="Times New Roman" w:cs="Times New Roman"/>
          <w:bCs/>
          <w:sz w:val="24"/>
          <w:szCs w:val="24"/>
        </w:rPr>
        <w:t>, ugdymo aplink</w:t>
      </w:r>
      <w:r w:rsidR="00FE17A4">
        <w:rPr>
          <w:rFonts w:ascii="Times New Roman" w:hAnsi="Times New Roman" w:cs="Times New Roman"/>
          <w:bCs/>
          <w:sz w:val="24"/>
          <w:szCs w:val="24"/>
        </w:rPr>
        <w:t>ai atnaujinti ir gerinti</w:t>
      </w:r>
      <w:r w:rsidR="00FE17A4" w:rsidRPr="00FE17A4">
        <w:rPr>
          <w:rFonts w:ascii="Times New Roman" w:hAnsi="Times New Roman" w:cs="Times New Roman"/>
          <w:bCs/>
          <w:sz w:val="24"/>
          <w:szCs w:val="24"/>
        </w:rPr>
        <w:t>, tiriam</w:t>
      </w:r>
      <w:r w:rsidR="00FE17A4">
        <w:rPr>
          <w:rFonts w:ascii="Times New Roman" w:hAnsi="Times New Roman" w:cs="Times New Roman"/>
          <w:bCs/>
          <w:sz w:val="24"/>
          <w:szCs w:val="24"/>
        </w:rPr>
        <w:t xml:space="preserve">ajai, pažintinei, </w:t>
      </w:r>
      <w:r w:rsidR="00FE17A4" w:rsidRPr="00FE17A4">
        <w:rPr>
          <w:rFonts w:ascii="Times New Roman" w:hAnsi="Times New Roman" w:cs="Times New Roman"/>
          <w:bCs/>
          <w:sz w:val="24"/>
          <w:szCs w:val="24"/>
        </w:rPr>
        <w:t>kūrybin</w:t>
      </w:r>
      <w:r w:rsidR="00FE17A4">
        <w:rPr>
          <w:rFonts w:ascii="Times New Roman" w:hAnsi="Times New Roman" w:cs="Times New Roman"/>
          <w:bCs/>
          <w:sz w:val="24"/>
          <w:szCs w:val="24"/>
        </w:rPr>
        <w:t>ei</w:t>
      </w:r>
      <w:r w:rsidR="00FE17A4" w:rsidRPr="00FE17A4">
        <w:rPr>
          <w:rFonts w:ascii="Times New Roman" w:hAnsi="Times New Roman" w:cs="Times New Roman"/>
          <w:bCs/>
          <w:sz w:val="24"/>
          <w:szCs w:val="24"/>
        </w:rPr>
        <w:t xml:space="preserve"> mokinių veikl</w:t>
      </w:r>
      <w:r w:rsidR="00FE17A4">
        <w:rPr>
          <w:rFonts w:ascii="Times New Roman" w:hAnsi="Times New Roman" w:cs="Times New Roman"/>
          <w:bCs/>
          <w:sz w:val="24"/>
          <w:szCs w:val="24"/>
        </w:rPr>
        <w:t>ai</w:t>
      </w:r>
      <w:r w:rsidR="00FE17A4" w:rsidRPr="00FE17A4">
        <w:rPr>
          <w:rFonts w:ascii="Times New Roman" w:hAnsi="Times New Roman" w:cs="Times New Roman"/>
          <w:bCs/>
          <w:sz w:val="24"/>
          <w:szCs w:val="24"/>
        </w:rPr>
        <w:t xml:space="preserve"> organiz</w:t>
      </w:r>
      <w:r w:rsidR="00FE17A4">
        <w:rPr>
          <w:rFonts w:ascii="Times New Roman" w:hAnsi="Times New Roman" w:cs="Times New Roman"/>
          <w:bCs/>
          <w:sz w:val="24"/>
          <w:szCs w:val="24"/>
        </w:rPr>
        <w:t>uoti</w:t>
      </w:r>
      <w:r w:rsidR="00FE17A4" w:rsidRPr="00FE17A4">
        <w:rPr>
          <w:rFonts w:ascii="Times New Roman" w:hAnsi="Times New Roman" w:cs="Times New Roman"/>
          <w:bCs/>
          <w:sz w:val="24"/>
          <w:szCs w:val="24"/>
        </w:rPr>
        <w:t>, mokytojų kvalifikacij</w:t>
      </w:r>
      <w:r w:rsidR="00FE17A4">
        <w:rPr>
          <w:rFonts w:ascii="Times New Roman" w:hAnsi="Times New Roman" w:cs="Times New Roman"/>
          <w:bCs/>
          <w:sz w:val="24"/>
          <w:szCs w:val="24"/>
        </w:rPr>
        <w:t xml:space="preserve">ai kelti. </w:t>
      </w:r>
      <w:r w:rsidRPr="00AE13D2">
        <w:rPr>
          <w:rFonts w:ascii="Times New Roman" w:hAnsi="Times New Roman" w:cs="Times New Roman"/>
          <w:bCs/>
          <w:sz w:val="24"/>
          <w:szCs w:val="24"/>
        </w:rPr>
        <w:t>2021 m. pabaigoje ŠMSM patvirtintas dar vienos rajono mokyklos dalyvavimas „Kokybės krepšelio“ projekte. Į projektą įsitraukia ir Skaistgirio gimnazija</w:t>
      </w:r>
      <w:r w:rsidR="00215EE0">
        <w:rPr>
          <w:rFonts w:ascii="Times New Roman" w:hAnsi="Times New Roman" w:cs="Times New Roman"/>
          <w:bCs/>
          <w:sz w:val="24"/>
          <w:szCs w:val="24"/>
        </w:rPr>
        <w:t xml:space="preserve">, kuri Kokybės krepšelio veiklas įgyvendins 2022 ir 2023 m. </w:t>
      </w:r>
    </w:p>
    <w:p w14:paraId="0E5D9D8E" w14:textId="074C2838" w:rsidR="00215EE0" w:rsidRDefault="00215EE0" w:rsidP="003055BA">
      <w:pPr>
        <w:pStyle w:val="Betarp"/>
        <w:spacing w:line="276" w:lineRule="auto"/>
        <w:ind w:firstLine="1296"/>
        <w:jc w:val="both"/>
        <w:rPr>
          <w:rFonts w:ascii="Times New Roman" w:hAnsi="Times New Roman" w:cs="Times New Roman"/>
          <w:bCs/>
          <w:sz w:val="24"/>
          <w:szCs w:val="24"/>
        </w:rPr>
      </w:pPr>
      <w:r>
        <w:rPr>
          <w:rFonts w:ascii="Times New Roman" w:hAnsi="Times New Roman"/>
          <w:color w:val="000000" w:themeColor="text1"/>
          <w:sz w:val="24"/>
          <w:szCs w:val="24"/>
        </w:rPr>
        <w:t xml:space="preserve">2021 m. rajono ugdymo įstaigos </w:t>
      </w:r>
      <w:r w:rsidRPr="00DB63F4">
        <w:rPr>
          <w:rFonts w:ascii="Times New Roman" w:hAnsi="Times New Roman"/>
          <w:color w:val="000000" w:themeColor="text1"/>
          <w:sz w:val="24"/>
          <w:szCs w:val="24"/>
        </w:rPr>
        <w:t xml:space="preserve">tęsė dalyvavimą </w:t>
      </w:r>
      <w:r w:rsidRPr="00DF2A7A">
        <w:rPr>
          <w:rFonts w:ascii="Times New Roman" w:hAnsi="Times New Roman"/>
          <w:color w:val="000000" w:themeColor="text1"/>
          <w:sz w:val="24"/>
          <w:szCs w:val="24"/>
        </w:rPr>
        <w:t xml:space="preserve">ES paramos projekte „Mokyklų aprūpinimas gamtos ir technologinių mokslų </w:t>
      </w:r>
      <w:r w:rsidRPr="00DB63F4">
        <w:rPr>
          <w:rFonts w:ascii="Times New Roman" w:hAnsi="Times New Roman"/>
          <w:color w:val="000000" w:themeColor="text1"/>
          <w:sz w:val="24"/>
          <w:szCs w:val="24"/>
        </w:rPr>
        <w:t xml:space="preserve">priemonėmis“ Kauno miesto savivaldybės  bendrojo ugdymo mokyklos. Projektas vykdomas jau </w:t>
      </w:r>
      <w:r>
        <w:rPr>
          <w:rFonts w:ascii="Times New Roman" w:hAnsi="Times New Roman"/>
          <w:color w:val="000000" w:themeColor="text1"/>
          <w:sz w:val="24"/>
          <w:szCs w:val="24"/>
        </w:rPr>
        <w:t>ketvirtus</w:t>
      </w:r>
      <w:r w:rsidRPr="00DB63F4">
        <w:rPr>
          <w:rFonts w:ascii="Times New Roman" w:hAnsi="Times New Roman"/>
          <w:color w:val="000000" w:themeColor="text1"/>
          <w:sz w:val="24"/>
          <w:szCs w:val="24"/>
        </w:rPr>
        <w:t xml:space="preserve"> metus. Integruoto gamtos mokslų kurso programą yra skirta tobulinti gamtamokslinį ugdymą ir gerinti mokinių pasiekimus. Mokyklos </w:t>
      </w:r>
      <w:r w:rsidRPr="00DB63F4">
        <w:rPr>
          <w:rFonts w:ascii="Times New Roman" w:hAnsi="Times New Roman"/>
          <w:color w:val="000000" w:themeColor="text1"/>
          <w:sz w:val="24"/>
          <w:szCs w:val="24"/>
        </w:rPr>
        <w:lastRenderedPageBreak/>
        <w:t>aprūpintos mokymo priemonių ir įrangos komplektais</w:t>
      </w:r>
      <w:r>
        <w:rPr>
          <w:rFonts w:ascii="Times New Roman" w:hAnsi="Times New Roman"/>
          <w:color w:val="000000" w:themeColor="text1"/>
          <w:sz w:val="24"/>
          <w:szCs w:val="24"/>
        </w:rPr>
        <w:t xml:space="preserve">, kurie gali būti sėkmingai naudojami organizuojant šiuolaikiškas pamokas, stiprinant STEAM ugdymą. </w:t>
      </w:r>
    </w:p>
    <w:p w14:paraId="0C5725DB" w14:textId="0653EBA0" w:rsidR="00215EE0" w:rsidRDefault="00215EE0" w:rsidP="003055BA">
      <w:pPr>
        <w:pStyle w:val="Betarp"/>
        <w:spacing w:line="276" w:lineRule="auto"/>
        <w:ind w:firstLine="1296"/>
        <w:jc w:val="both"/>
        <w:rPr>
          <w:rFonts w:ascii="Times New Roman" w:hAnsi="Times New Roman" w:cs="Times New Roman"/>
          <w:bCs/>
          <w:sz w:val="24"/>
          <w:szCs w:val="24"/>
        </w:rPr>
      </w:pPr>
    </w:p>
    <w:p w14:paraId="58729A0D" w14:textId="1C01483F" w:rsidR="00860B0F" w:rsidRDefault="00860B0F" w:rsidP="00AE13D2">
      <w:pPr>
        <w:pStyle w:val="Betarp"/>
        <w:jc w:val="both"/>
        <w:rPr>
          <w:rFonts w:ascii="Times New Roman" w:hAnsi="Times New Roman" w:cs="Times New Roman"/>
          <w:b/>
          <w:bCs/>
          <w:sz w:val="24"/>
          <w:szCs w:val="24"/>
        </w:rPr>
      </w:pPr>
      <w:r w:rsidRPr="00AE13D2">
        <w:rPr>
          <w:rFonts w:ascii="Times New Roman" w:hAnsi="Times New Roman" w:cs="Times New Roman"/>
          <w:b/>
          <w:bCs/>
          <w:sz w:val="24"/>
          <w:szCs w:val="24"/>
        </w:rPr>
        <w:t>Renovacijos ir atnaujinimo darbai</w:t>
      </w:r>
    </w:p>
    <w:p w14:paraId="7E266D95" w14:textId="77777777" w:rsidR="00AE13D2" w:rsidRPr="00AE13D2" w:rsidRDefault="00AE13D2" w:rsidP="00AE13D2">
      <w:pPr>
        <w:pStyle w:val="Betarp"/>
        <w:jc w:val="both"/>
        <w:rPr>
          <w:rFonts w:ascii="Times New Roman" w:hAnsi="Times New Roman" w:cs="Times New Roman"/>
          <w:b/>
          <w:bCs/>
          <w:sz w:val="24"/>
          <w:szCs w:val="24"/>
        </w:rPr>
      </w:pPr>
    </w:p>
    <w:p w14:paraId="52A4E71A" w14:textId="064EF597" w:rsidR="00D75D42" w:rsidRPr="00AE13D2" w:rsidRDefault="00860B0F" w:rsidP="00AE13D2">
      <w:pPr>
        <w:pStyle w:val="Betarp"/>
        <w:spacing w:line="276" w:lineRule="auto"/>
        <w:ind w:firstLine="1296"/>
        <w:jc w:val="both"/>
        <w:rPr>
          <w:rFonts w:ascii="Times New Roman" w:hAnsi="Times New Roman" w:cs="Times New Roman"/>
          <w:bCs/>
          <w:sz w:val="24"/>
          <w:szCs w:val="24"/>
        </w:rPr>
      </w:pPr>
      <w:r w:rsidRPr="00AE13D2">
        <w:rPr>
          <w:rFonts w:ascii="Times New Roman" w:hAnsi="Times New Roman" w:cs="Times New Roman"/>
          <w:bCs/>
          <w:sz w:val="24"/>
          <w:szCs w:val="24"/>
        </w:rPr>
        <w:t xml:space="preserve">2021 m. tęsiama pastatų renovacija: renovuotas lopšelio-darželio „Saulutė“ pastatas, renovacijos darbai vykdyti „Saulės“ pagrindinėje mokykloje, baigti „Aušros“ stadiono atnaujinimo darbai. Renovacijos ir atnaujinimo projektai užtikrina tikslingą ir taupų lėšų naudojimą, leido pagerinti ugdymo sąlygas, užtikrino saugią ir kokybišką ugdymosi aplinką. </w:t>
      </w:r>
    </w:p>
    <w:p w14:paraId="53D653C2" w14:textId="77777777" w:rsidR="0064260E" w:rsidRDefault="0064260E" w:rsidP="00D75D42">
      <w:pPr>
        <w:rPr>
          <w:rFonts w:ascii="Times New Roman" w:eastAsia="Calibri" w:hAnsi="Times New Roman" w:cs="Times New Roman"/>
          <w:b/>
          <w:sz w:val="24"/>
          <w:szCs w:val="24"/>
        </w:rPr>
      </w:pPr>
    </w:p>
    <w:p w14:paraId="143906EE" w14:textId="7AE8E641" w:rsidR="00423A53" w:rsidRDefault="00423A53" w:rsidP="00D75D42">
      <w:pPr>
        <w:rPr>
          <w:rFonts w:ascii="Times New Roman" w:eastAsia="Calibri" w:hAnsi="Times New Roman" w:cs="Times New Roman"/>
          <w:b/>
          <w:sz w:val="24"/>
          <w:szCs w:val="24"/>
        </w:rPr>
      </w:pPr>
      <w:r w:rsidRPr="00423A53">
        <w:rPr>
          <w:rFonts w:ascii="Times New Roman" w:eastAsia="Calibri" w:hAnsi="Times New Roman" w:cs="Times New Roman"/>
          <w:b/>
          <w:sz w:val="24"/>
          <w:szCs w:val="24"/>
        </w:rPr>
        <w:t>Mokymosi pasiekimai</w:t>
      </w:r>
    </w:p>
    <w:p w14:paraId="512ACCA6" w14:textId="7DF47DFE" w:rsidR="00A5659A" w:rsidRDefault="00A5659A" w:rsidP="00D75D42">
      <w:pPr>
        <w:rPr>
          <w:rFonts w:ascii="Times New Roman" w:eastAsia="Calibri" w:hAnsi="Times New Roman" w:cs="Times New Roman"/>
          <w:b/>
          <w:sz w:val="24"/>
          <w:szCs w:val="24"/>
        </w:rPr>
      </w:pPr>
      <w:r>
        <w:rPr>
          <w:rFonts w:ascii="Times New Roman" w:eastAsia="Calibri" w:hAnsi="Times New Roman" w:cs="Times New Roman"/>
          <w:b/>
          <w:sz w:val="24"/>
          <w:szCs w:val="24"/>
        </w:rPr>
        <w:t>Nacionalinis mokinių pasiekimų patikrinimas</w:t>
      </w:r>
    </w:p>
    <w:p w14:paraId="20191983" w14:textId="6A8535F0" w:rsidR="00A5659A" w:rsidRDefault="00A5659A" w:rsidP="00734D71">
      <w:pPr>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2021 m. rajono ugdymo įstaigų 4 ir 8 klasių moksleiviai dalyvavo Nacionaliniame mokinių pasiekimų patikrinime. Ir 4, ir 8 klasių rajono mokinių pasiekimai lyginant su šalies mokinių pasiekimais yra šiek tiek mažesni. </w:t>
      </w:r>
      <w:r w:rsidR="00634E8D">
        <w:rPr>
          <w:rFonts w:ascii="Times New Roman" w:eastAsia="Calibri" w:hAnsi="Times New Roman" w:cs="Times New Roman"/>
          <w:sz w:val="24"/>
          <w:szCs w:val="24"/>
        </w:rPr>
        <w:t xml:space="preserve">Matematikos įvertinimų atotrūkis nuo šalies vidurkių yra didesnis, skaitymo – mažesnis. </w:t>
      </w:r>
      <w:r>
        <w:rPr>
          <w:rFonts w:ascii="Times New Roman" w:eastAsia="Calibri" w:hAnsi="Times New Roman" w:cs="Times New Roman"/>
          <w:sz w:val="24"/>
          <w:szCs w:val="24"/>
        </w:rPr>
        <w:t xml:space="preserve">Mokinių pasiekimų patikrinimo rezultatai </w:t>
      </w:r>
      <w:r w:rsidR="00734D71">
        <w:rPr>
          <w:rFonts w:ascii="Times New Roman" w:eastAsia="Calibri" w:hAnsi="Times New Roman" w:cs="Times New Roman"/>
          <w:sz w:val="24"/>
          <w:szCs w:val="24"/>
        </w:rPr>
        <w:t>ir jų palyginimas su šalies mokinių rezultatais pateikiami</w:t>
      </w:r>
      <w:r>
        <w:rPr>
          <w:rFonts w:ascii="Times New Roman" w:eastAsia="Calibri" w:hAnsi="Times New Roman" w:cs="Times New Roman"/>
          <w:sz w:val="24"/>
          <w:szCs w:val="24"/>
        </w:rPr>
        <w:t xml:space="preserve"> </w:t>
      </w:r>
      <w:r w:rsidR="00B04AAD">
        <w:rPr>
          <w:rFonts w:ascii="Times New Roman" w:eastAsia="Calibri" w:hAnsi="Times New Roman" w:cs="Times New Roman"/>
          <w:sz w:val="24"/>
          <w:szCs w:val="24"/>
        </w:rPr>
        <w:t>5</w:t>
      </w:r>
      <w:r w:rsidR="0064260E">
        <w:rPr>
          <w:rFonts w:ascii="Times New Roman" w:eastAsia="Calibri" w:hAnsi="Times New Roman" w:cs="Times New Roman"/>
          <w:sz w:val="24"/>
          <w:szCs w:val="24"/>
        </w:rPr>
        <w:t xml:space="preserve"> </w:t>
      </w:r>
      <w:r>
        <w:rPr>
          <w:rFonts w:ascii="Times New Roman" w:eastAsia="Calibri" w:hAnsi="Times New Roman" w:cs="Times New Roman"/>
          <w:sz w:val="24"/>
          <w:szCs w:val="24"/>
        </w:rPr>
        <w:t>lentelė</w:t>
      </w:r>
      <w:r w:rsidR="00734D71">
        <w:rPr>
          <w:rFonts w:ascii="Times New Roman" w:eastAsia="Calibri" w:hAnsi="Times New Roman" w:cs="Times New Roman"/>
          <w:sz w:val="24"/>
          <w:szCs w:val="24"/>
        </w:rPr>
        <w:t>j</w:t>
      </w:r>
      <w:r>
        <w:rPr>
          <w:rFonts w:ascii="Times New Roman" w:eastAsia="Calibri" w:hAnsi="Times New Roman" w:cs="Times New Roman"/>
          <w:sz w:val="24"/>
          <w:szCs w:val="24"/>
        </w:rPr>
        <w:t xml:space="preserve">e. </w:t>
      </w:r>
    </w:p>
    <w:p w14:paraId="3B3D38B1" w14:textId="72DE85DB" w:rsidR="0064260E" w:rsidRDefault="00B04AAD" w:rsidP="0064260E">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4260E">
        <w:rPr>
          <w:rFonts w:ascii="Times New Roman" w:eastAsia="Calibri" w:hAnsi="Times New Roman" w:cs="Times New Roman"/>
          <w:sz w:val="24"/>
          <w:szCs w:val="24"/>
        </w:rPr>
        <w:t xml:space="preserve"> lentelė</w:t>
      </w:r>
    </w:p>
    <w:p w14:paraId="3DC7580E" w14:textId="51A1ADE8" w:rsidR="00A5659A" w:rsidRDefault="00A5659A" w:rsidP="00D75D42">
      <w:pPr>
        <w:rPr>
          <w:rFonts w:ascii="Times New Roman" w:eastAsia="Calibri" w:hAnsi="Times New Roman" w:cs="Times New Roman"/>
          <w:sz w:val="24"/>
          <w:szCs w:val="24"/>
        </w:rPr>
      </w:pPr>
      <w:r w:rsidRPr="00A5659A">
        <w:rPr>
          <w:noProof/>
          <w:lang w:eastAsia="lt-LT"/>
        </w:rPr>
        <w:drawing>
          <wp:inline distT="0" distB="0" distL="0" distR="0" wp14:anchorId="091EC2CD" wp14:editId="357D7045">
            <wp:extent cx="6120130" cy="2145030"/>
            <wp:effectExtent l="0" t="0" r="0"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145030"/>
                    </a:xfrm>
                    <a:prstGeom prst="rect">
                      <a:avLst/>
                    </a:prstGeom>
                    <a:noFill/>
                    <a:ln>
                      <a:noFill/>
                    </a:ln>
                  </pic:spPr>
                </pic:pic>
              </a:graphicData>
            </a:graphic>
          </wp:inline>
        </w:drawing>
      </w:r>
    </w:p>
    <w:p w14:paraId="06A7D91A" w14:textId="39E8EE59" w:rsidR="00A5659A" w:rsidRDefault="00A5659A" w:rsidP="00734D71">
      <w:pPr>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Atskirose rajono ugdymo įstaigose rezultatai skiriasi: vienose jie aukštesni už šalies vidurkį, kitose – žemesni arba panašūs. </w:t>
      </w:r>
      <w:r w:rsidR="00C716A7">
        <w:rPr>
          <w:rFonts w:ascii="Times New Roman" w:eastAsia="Calibri" w:hAnsi="Times New Roman" w:cs="Times New Roman"/>
          <w:sz w:val="24"/>
          <w:szCs w:val="24"/>
        </w:rPr>
        <w:t xml:space="preserve">Ir šalies, ir savivaldybės kitų mokyklų matematikos įvertinimų vidurkius lenkia Skaistgirio </w:t>
      </w:r>
      <w:r w:rsidR="00634E8D">
        <w:rPr>
          <w:rFonts w:ascii="Times New Roman" w:eastAsia="Calibri" w:hAnsi="Times New Roman" w:cs="Times New Roman"/>
          <w:sz w:val="24"/>
          <w:szCs w:val="24"/>
        </w:rPr>
        <w:t xml:space="preserve">gimnazijos </w:t>
      </w:r>
      <w:r w:rsidR="00C716A7">
        <w:rPr>
          <w:rFonts w:ascii="Times New Roman" w:eastAsia="Calibri" w:hAnsi="Times New Roman" w:cs="Times New Roman"/>
          <w:sz w:val="24"/>
          <w:szCs w:val="24"/>
        </w:rPr>
        <w:t xml:space="preserve">ir Kriukų </w:t>
      </w:r>
      <w:r w:rsidR="00634E8D">
        <w:rPr>
          <w:rFonts w:ascii="Times New Roman" w:eastAsia="Calibri" w:hAnsi="Times New Roman" w:cs="Times New Roman"/>
          <w:sz w:val="24"/>
          <w:szCs w:val="24"/>
        </w:rPr>
        <w:t xml:space="preserve">pagrindinės mokyklos 4 kl. mokinių įvertinimai. </w:t>
      </w:r>
      <w:r>
        <w:rPr>
          <w:rFonts w:ascii="Times New Roman" w:eastAsia="Calibri" w:hAnsi="Times New Roman" w:cs="Times New Roman"/>
          <w:sz w:val="24"/>
          <w:szCs w:val="24"/>
        </w:rPr>
        <w:t xml:space="preserve">Toliau </w:t>
      </w:r>
      <w:r w:rsidR="00B04AAD">
        <w:rPr>
          <w:rFonts w:ascii="Times New Roman" w:eastAsia="Calibri" w:hAnsi="Times New Roman" w:cs="Times New Roman"/>
          <w:sz w:val="24"/>
          <w:szCs w:val="24"/>
        </w:rPr>
        <w:t>6</w:t>
      </w:r>
      <w:r w:rsidR="006426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lentelėje pateikiami mokinių matematikos pasiekimų patikrinimo rezultatai pagal mokyklas. </w:t>
      </w:r>
    </w:p>
    <w:p w14:paraId="446CDB57" w14:textId="77777777" w:rsidR="00634E8D" w:rsidRDefault="00634E8D" w:rsidP="0064260E">
      <w:pPr>
        <w:jc w:val="both"/>
        <w:rPr>
          <w:rFonts w:ascii="Times New Roman" w:eastAsia="Calibri" w:hAnsi="Times New Roman" w:cs="Times New Roman"/>
          <w:sz w:val="24"/>
          <w:szCs w:val="24"/>
        </w:rPr>
      </w:pPr>
    </w:p>
    <w:p w14:paraId="45B7C419" w14:textId="77777777" w:rsidR="00634E8D" w:rsidRDefault="00634E8D" w:rsidP="0064260E">
      <w:pPr>
        <w:jc w:val="both"/>
        <w:rPr>
          <w:rFonts w:ascii="Times New Roman" w:eastAsia="Calibri" w:hAnsi="Times New Roman" w:cs="Times New Roman"/>
          <w:sz w:val="24"/>
          <w:szCs w:val="24"/>
        </w:rPr>
      </w:pPr>
    </w:p>
    <w:p w14:paraId="0A7F7A06" w14:textId="77777777" w:rsidR="00634E8D" w:rsidRDefault="00634E8D" w:rsidP="0064260E">
      <w:pPr>
        <w:jc w:val="both"/>
        <w:rPr>
          <w:rFonts w:ascii="Times New Roman" w:eastAsia="Calibri" w:hAnsi="Times New Roman" w:cs="Times New Roman"/>
          <w:sz w:val="24"/>
          <w:szCs w:val="24"/>
        </w:rPr>
      </w:pPr>
    </w:p>
    <w:p w14:paraId="55B0354C" w14:textId="77777777" w:rsidR="00634E8D" w:rsidRDefault="00634E8D" w:rsidP="0064260E">
      <w:pPr>
        <w:jc w:val="both"/>
        <w:rPr>
          <w:rFonts w:ascii="Times New Roman" w:eastAsia="Calibri" w:hAnsi="Times New Roman" w:cs="Times New Roman"/>
          <w:sz w:val="24"/>
          <w:szCs w:val="24"/>
        </w:rPr>
      </w:pPr>
    </w:p>
    <w:p w14:paraId="38BE259E" w14:textId="5778F086" w:rsidR="0064260E" w:rsidRDefault="00B04AAD" w:rsidP="0064260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64260E">
        <w:rPr>
          <w:rFonts w:ascii="Times New Roman" w:eastAsia="Calibri" w:hAnsi="Times New Roman" w:cs="Times New Roman"/>
          <w:sz w:val="24"/>
          <w:szCs w:val="24"/>
        </w:rPr>
        <w:t xml:space="preserve"> lentelė</w:t>
      </w:r>
    </w:p>
    <w:p w14:paraId="4E1D7326" w14:textId="39A7A0FC" w:rsidR="00A5659A" w:rsidRDefault="00A5659A" w:rsidP="00D75D42">
      <w:pPr>
        <w:rPr>
          <w:rFonts w:ascii="Times New Roman" w:eastAsia="Calibri" w:hAnsi="Times New Roman" w:cs="Times New Roman"/>
          <w:sz w:val="24"/>
          <w:szCs w:val="24"/>
        </w:rPr>
      </w:pPr>
      <w:r w:rsidRPr="00A5659A">
        <w:rPr>
          <w:noProof/>
          <w:lang w:eastAsia="lt-LT"/>
        </w:rPr>
        <w:drawing>
          <wp:inline distT="0" distB="0" distL="0" distR="0" wp14:anchorId="6A761026" wp14:editId="7BFD2CEE">
            <wp:extent cx="6120130" cy="314642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146425"/>
                    </a:xfrm>
                    <a:prstGeom prst="rect">
                      <a:avLst/>
                    </a:prstGeom>
                    <a:noFill/>
                    <a:ln>
                      <a:noFill/>
                    </a:ln>
                  </pic:spPr>
                </pic:pic>
              </a:graphicData>
            </a:graphic>
          </wp:inline>
        </w:drawing>
      </w:r>
    </w:p>
    <w:p w14:paraId="02B7A9F1" w14:textId="700BC444" w:rsidR="00734D71" w:rsidRDefault="00734D71" w:rsidP="00062720">
      <w:pPr>
        <w:ind w:firstLine="1296"/>
        <w:jc w:val="both"/>
        <w:rPr>
          <w:rFonts w:ascii="Times New Roman" w:hAnsi="Times New Roman" w:cs="Times New Roman"/>
          <w:sz w:val="24"/>
          <w:szCs w:val="24"/>
        </w:rPr>
      </w:pPr>
      <w:r w:rsidRPr="00062720">
        <w:rPr>
          <w:rFonts w:ascii="Times New Roman" w:hAnsi="Times New Roman" w:cs="Times New Roman"/>
          <w:sz w:val="24"/>
          <w:szCs w:val="24"/>
        </w:rPr>
        <w:t>4 klasės mokinių skaitymo rezultatai rajono ugdymo įstaigose taip pat skiriasi. Vienose jie aukštesni už šalies vidurkį, kitose – žemesni arba tokie patys. Toliau</w:t>
      </w:r>
      <w:r w:rsidR="00B04AAD">
        <w:rPr>
          <w:rFonts w:ascii="Times New Roman" w:hAnsi="Times New Roman" w:cs="Times New Roman"/>
          <w:sz w:val="24"/>
          <w:szCs w:val="24"/>
        </w:rPr>
        <w:t xml:space="preserve"> 7</w:t>
      </w:r>
      <w:r w:rsidR="0064260E">
        <w:rPr>
          <w:rFonts w:ascii="Times New Roman" w:hAnsi="Times New Roman" w:cs="Times New Roman"/>
          <w:sz w:val="24"/>
          <w:szCs w:val="24"/>
        </w:rPr>
        <w:t xml:space="preserve"> </w:t>
      </w:r>
      <w:r w:rsidRPr="00062720">
        <w:rPr>
          <w:rFonts w:ascii="Times New Roman" w:hAnsi="Times New Roman" w:cs="Times New Roman"/>
          <w:sz w:val="24"/>
          <w:szCs w:val="24"/>
        </w:rPr>
        <w:t xml:space="preserve">lentelėje pateikiami skaitymo pasiekimų rezultatai </w:t>
      </w:r>
      <w:r w:rsidR="00B53554" w:rsidRPr="00062720">
        <w:rPr>
          <w:rFonts w:ascii="Times New Roman" w:hAnsi="Times New Roman" w:cs="Times New Roman"/>
          <w:sz w:val="24"/>
          <w:szCs w:val="24"/>
        </w:rPr>
        <w:t>rajono</w:t>
      </w:r>
      <w:r w:rsidRPr="00062720">
        <w:rPr>
          <w:rFonts w:ascii="Times New Roman" w:hAnsi="Times New Roman" w:cs="Times New Roman"/>
          <w:sz w:val="24"/>
          <w:szCs w:val="24"/>
        </w:rPr>
        <w:t xml:space="preserve"> ugdymo įstaigose. </w:t>
      </w:r>
    </w:p>
    <w:p w14:paraId="12380A64" w14:textId="6FCCF5DD" w:rsidR="0064260E" w:rsidRPr="00062720" w:rsidRDefault="00B04AAD" w:rsidP="0064260E">
      <w:pPr>
        <w:jc w:val="both"/>
        <w:rPr>
          <w:rFonts w:ascii="Times New Roman" w:hAnsi="Times New Roman" w:cs="Times New Roman"/>
          <w:sz w:val="24"/>
          <w:szCs w:val="24"/>
        </w:rPr>
      </w:pPr>
      <w:r>
        <w:rPr>
          <w:rFonts w:ascii="Times New Roman" w:hAnsi="Times New Roman" w:cs="Times New Roman"/>
          <w:sz w:val="24"/>
          <w:szCs w:val="24"/>
        </w:rPr>
        <w:t>7</w:t>
      </w:r>
      <w:r w:rsidR="0064260E">
        <w:rPr>
          <w:rFonts w:ascii="Times New Roman" w:hAnsi="Times New Roman" w:cs="Times New Roman"/>
          <w:sz w:val="24"/>
          <w:szCs w:val="24"/>
        </w:rPr>
        <w:t xml:space="preserve"> lentelė</w:t>
      </w:r>
    </w:p>
    <w:p w14:paraId="62BE21E3" w14:textId="6B1AEB09" w:rsidR="00A5659A" w:rsidRDefault="00734D71" w:rsidP="00D75D42">
      <w:pPr>
        <w:rPr>
          <w:rFonts w:ascii="Times New Roman" w:eastAsia="Calibri" w:hAnsi="Times New Roman" w:cs="Times New Roman"/>
          <w:sz w:val="24"/>
          <w:szCs w:val="24"/>
        </w:rPr>
      </w:pPr>
      <w:r w:rsidRPr="00734D71">
        <w:rPr>
          <w:noProof/>
          <w:lang w:eastAsia="lt-LT"/>
        </w:rPr>
        <w:drawing>
          <wp:inline distT="0" distB="0" distL="0" distR="0" wp14:anchorId="61478B8A" wp14:editId="311F1A9F">
            <wp:extent cx="6120130" cy="233268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109" cy="2333439"/>
                    </a:xfrm>
                    <a:prstGeom prst="rect">
                      <a:avLst/>
                    </a:prstGeom>
                    <a:noFill/>
                    <a:ln>
                      <a:noFill/>
                    </a:ln>
                  </pic:spPr>
                </pic:pic>
              </a:graphicData>
            </a:graphic>
          </wp:inline>
        </w:drawing>
      </w:r>
    </w:p>
    <w:p w14:paraId="4859F35E" w14:textId="145BB14B" w:rsidR="00734D71" w:rsidRDefault="00734D71" w:rsidP="00062720">
      <w:pPr>
        <w:autoSpaceDE w:val="0"/>
        <w:autoSpaceDN w:val="0"/>
        <w:adjustRightInd w:val="0"/>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8 klasių moksleiviai dalyvavo matematikos ir </w:t>
      </w:r>
      <w:r w:rsidR="00B53554">
        <w:rPr>
          <w:rFonts w:ascii="Times New Roman" w:hAnsi="Times New Roman" w:cs="Times New Roman"/>
          <w:sz w:val="24"/>
          <w:szCs w:val="24"/>
        </w:rPr>
        <w:t xml:space="preserve">skaitymo </w:t>
      </w:r>
      <w:r>
        <w:rPr>
          <w:rFonts w:ascii="Times New Roman" w:hAnsi="Times New Roman" w:cs="Times New Roman"/>
          <w:sz w:val="24"/>
          <w:szCs w:val="24"/>
        </w:rPr>
        <w:t>pasiekimų patikrinimuose.</w:t>
      </w:r>
      <w:r w:rsidR="00B53554">
        <w:rPr>
          <w:rFonts w:ascii="Times New Roman" w:hAnsi="Times New Roman" w:cs="Times New Roman"/>
          <w:sz w:val="24"/>
          <w:szCs w:val="24"/>
        </w:rPr>
        <w:t xml:space="preserve"> Rajono mokinių rezultatai šiek tiek mažesni negu šalies mokinių pasiekimų patikrinimo rezultatai. 8 klasių m</w:t>
      </w:r>
      <w:r w:rsidR="00B53554" w:rsidRPr="00B53554">
        <w:rPr>
          <w:rFonts w:ascii="Times New Roman" w:hAnsi="Times New Roman" w:cs="Times New Roman"/>
          <w:sz w:val="24"/>
          <w:szCs w:val="24"/>
        </w:rPr>
        <w:t xml:space="preserve">okinių pasiekimų patikrinimo rezultatai ir jų palyginimas su šalies mokinių rezultatais pateikiami </w:t>
      </w:r>
      <w:r w:rsidR="00337FA6">
        <w:rPr>
          <w:rFonts w:ascii="Times New Roman" w:hAnsi="Times New Roman" w:cs="Times New Roman"/>
          <w:sz w:val="24"/>
          <w:szCs w:val="24"/>
        </w:rPr>
        <w:t>8</w:t>
      </w:r>
      <w:r w:rsidR="00063FC3">
        <w:rPr>
          <w:rFonts w:ascii="Times New Roman" w:hAnsi="Times New Roman" w:cs="Times New Roman"/>
          <w:sz w:val="24"/>
          <w:szCs w:val="24"/>
        </w:rPr>
        <w:t xml:space="preserve"> </w:t>
      </w:r>
      <w:r w:rsidR="00B53554" w:rsidRPr="00B53554">
        <w:rPr>
          <w:rFonts w:ascii="Times New Roman" w:hAnsi="Times New Roman" w:cs="Times New Roman"/>
          <w:sz w:val="24"/>
          <w:szCs w:val="24"/>
        </w:rPr>
        <w:t>lentelėje.</w:t>
      </w:r>
    </w:p>
    <w:p w14:paraId="087E9405" w14:textId="5869E151" w:rsidR="00734D71" w:rsidRDefault="00734D71" w:rsidP="00734D71">
      <w:pPr>
        <w:autoSpaceDE w:val="0"/>
        <w:autoSpaceDN w:val="0"/>
        <w:adjustRightInd w:val="0"/>
        <w:spacing w:after="0"/>
        <w:jc w:val="both"/>
        <w:rPr>
          <w:rFonts w:ascii="Times New Roman" w:hAnsi="Times New Roman" w:cs="Times New Roman"/>
          <w:sz w:val="24"/>
          <w:szCs w:val="24"/>
        </w:rPr>
      </w:pPr>
    </w:p>
    <w:p w14:paraId="757D730F" w14:textId="77777777" w:rsidR="00634E8D" w:rsidRDefault="00634E8D" w:rsidP="00734D71">
      <w:pPr>
        <w:autoSpaceDE w:val="0"/>
        <w:autoSpaceDN w:val="0"/>
        <w:adjustRightInd w:val="0"/>
        <w:spacing w:after="0"/>
        <w:jc w:val="both"/>
        <w:rPr>
          <w:rFonts w:ascii="Times New Roman" w:hAnsi="Times New Roman" w:cs="Times New Roman"/>
          <w:sz w:val="24"/>
          <w:szCs w:val="24"/>
        </w:rPr>
      </w:pPr>
    </w:p>
    <w:p w14:paraId="5B847C74" w14:textId="77777777" w:rsidR="00634E8D" w:rsidRDefault="00634E8D" w:rsidP="00734D71">
      <w:pPr>
        <w:autoSpaceDE w:val="0"/>
        <w:autoSpaceDN w:val="0"/>
        <w:adjustRightInd w:val="0"/>
        <w:spacing w:after="0"/>
        <w:jc w:val="both"/>
        <w:rPr>
          <w:rFonts w:ascii="Times New Roman" w:hAnsi="Times New Roman" w:cs="Times New Roman"/>
          <w:sz w:val="24"/>
          <w:szCs w:val="24"/>
        </w:rPr>
      </w:pPr>
    </w:p>
    <w:p w14:paraId="228F4231" w14:textId="77777777" w:rsidR="00634E8D" w:rsidRDefault="00634E8D" w:rsidP="00734D71">
      <w:pPr>
        <w:autoSpaceDE w:val="0"/>
        <w:autoSpaceDN w:val="0"/>
        <w:adjustRightInd w:val="0"/>
        <w:spacing w:after="0"/>
        <w:jc w:val="both"/>
        <w:rPr>
          <w:rFonts w:ascii="Times New Roman" w:hAnsi="Times New Roman" w:cs="Times New Roman"/>
          <w:sz w:val="24"/>
          <w:szCs w:val="24"/>
        </w:rPr>
      </w:pPr>
    </w:p>
    <w:p w14:paraId="111C109D" w14:textId="77777777" w:rsidR="00634E8D" w:rsidRDefault="00634E8D" w:rsidP="00734D71">
      <w:pPr>
        <w:autoSpaceDE w:val="0"/>
        <w:autoSpaceDN w:val="0"/>
        <w:adjustRightInd w:val="0"/>
        <w:spacing w:after="0"/>
        <w:jc w:val="both"/>
        <w:rPr>
          <w:rFonts w:ascii="Times New Roman" w:hAnsi="Times New Roman" w:cs="Times New Roman"/>
          <w:sz w:val="24"/>
          <w:szCs w:val="24"/>
        </w:rPr>
      </w:pPr>
    </w:p>
    <w:p w14:paraId="70F5BFF5" w14:textId="6CEB11F0" w:rsidR="00063FC3" w:rsidRDefault="00337FA6" w:rsidP="00734D7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215EE0">
        <w:rPr>
          <w:rFonts w:ascii="Times New Roman" w:hAnsi="Times New Roman" w:cs="Times New Roman"/>
          <w:sz w:val="24"/>
          <w:szCs w:val="24"/>
        </w:rPr>
        <w:t xml:space="preserve"> </w:t>
      </w:r>
      <w:r w:rsidR="00063FC3">
        <w:rPr>
          <w:rFonts w:ascii="Times New Roman" w:hAnsi="Times New Roman" w:cs="Times New Roman"/>
          <w:sz w:val="24"/>
          <w:szCs w:val="24"/>
        </w:rPr>
        <w:t>lentelė</w:t>
      </w:r>
    </w:p>
    <w:p w14:paraId="4352368E" w14:textId="7D496F60" w:rsidR="00734D71" w:rsidRDefault="00734D71" w:rsidP="00734D71">
      <w:pPr>
        <w:autoSpaceDE w:val="0"/>
        <w:autoSpaceDN w:val="0"/>
        <w:adjustRightInd w:val="0"/>
        <w:spacing w:after="0"/>
        <w:jc w:val="both"/>
        <w:rPr>
          <w:rFonts w:ascii="Times New Roman" w:hAnsi="Times New Roman" w:cs="Times New Roman"/>
          <w:sz w:val="24"/>
          <w:szCs w:val="24"/>
        </w:rPr>
      </w:pPr>
      <w:r w:rsidRPr="00734D71">
        <w:rPr>
          <w:noProof/>
          <w:lang w:eastAsia="lt-LT"/>
        </w:rPr>
        <w:drawing>
          <wp:inline distT="0" distB="0" distL="0" distR="0" wp14:anchorId="51B93AEF" wp14:editId="6D8565E6">
            <wp:extent cx="6118686" cy="1944806"/>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092" cy="1956378"/>
                    </a:xfrm>
                    <a:prstGeom prst="rect">
                      <a:avLst/>
                    </a:prstGeom>
                    <a:noFill/>
                    <a:ln>
                      <a:noFill/>
                    </a:ln>
                  </pic:spPr>
                </pic:pic>
              </a:graphicData>
            </a:graphic>
          </wp:inline>
        </w:drawing>
      </w:r>
    </w:p>
    <w:p w14:paraId="3BEAB941" w14:textId="1DC5325E" w:rsidR="00063FC3" w:rsidRDefault="00B53554" w:rsidP="00063FC3">
      <w:pPr>
        <w:autoSpaceDE w:val="0"/>
        <w:autoSpaceDN w:val="0"/>
        <w:adjustRightInd w:val="0"/>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Matematikos pasiekimų patikrinimo rezultatai </w:t>
      </w:r>
      <w:bookmarkStart w:id="1" w:name="_Hlk93503144"/>
      <w:r>
        <w:rPr>
          <w:rFonts w:ascii="Times New Roman" w:hAnsi="Times New Roman" w:cs="Times New Roman"/>
          <w:sz w:val="24"/>
          <w:szCs w:val="24"/>
        </w:rPr>
        <w:t xml:space="preserve">atskirose mokyklose įvairuoja: vienur jie aukštesni už šalies vidurkį, kitur – tokie pat arba žemesni. </w:t>
      </w:r>
      <w:r w:rsidR="00634E8D">
        <w:rPr>
          <w:rFonts w:ascii="Times New Roman" w:hAnsi="Times New Roman" w:cs="Times New Roman"/>
          <w:sz w:val="24"/>
          <w:szCs w:val="24"/>
        </w:rPr>
        <w:t xml:space="preserve">8 kl. matematikos aukščiausius įvertinimus, kurie lenkia šalies įvertinamus, pasiekė Joniškio Mato Slančiausko progimnazijos 8 kl. mokiniai. </w:t>
      </w:r>
      <w:r w:rsidRPr="00B53554">
        <w:rPr>
          <w:rFonts w:ascii="Times New Roman" w:hAnsi="Times New Roman" w:cs="Times New Roman"/>
          <w:sz w:val="24"/>
          <w:szCs w:val="24"/>
        </w:rPr>
        <w:t xml:space="preserve">Toliau </w:t>
      </w:r>
      <w:r w:rsidR="00337FA6">
        <w:rPr>
          <w:rFonts w:ascii="Times New Roman" w:hAnsi="Times New Roman" w:cs="Times New Roman"/>
          <w:sz w:val="24"/>
          <w:szCs w:val="24"/>
        </w:rPr>
        <w:t>9</w:t>
      </w:r>
      <w:r w:rsidR="00063FC3">
        <w:rPr>
          <w:rFonts w:ascii="Times New Roman" w:hAnsi="Times New Roman" w:cs="Times New Roman"/>
          <w:sz w:val="24"/>
          <w:szCs w:val="24"/>
        </w:rPr>
        <w:t xml:space="preserve"> </w:t>
      </w:r>
      <w:r w:rsidRPr="00B53554">
        <w:rPr>
          <w:rFonts w:ascii="Times New Roman" w:hAnsi="Times New Roman" w:cs="Times New Roman"/>
          <w:sz w:val="24"/>
          <w:szCs w:val="24"/>
        </w:rPr>
        <w:t>lentelėje pateikiami mokinių matematikos pasiekimų patikrinimo rezultatai pagal mokyklas.</w:t>
      </w:r>
      <w:r w:rsidR="00063FC3">
        <w:rPr>
          <w:rFonts w:ascii="Times New Roman" w:hAnsi="Times New Roman" w:cs="Times New Roman"/>
          <w:sz w:val="24"/>
          <w:szCs w:val="24"/>
        </w:rPr>
        <w:t xml:space="preserve"> </w:t>
      </w:r>
    </w:p>
    <w:p w14:paraId="5DDE843F" w14:textId="797E1240" w:rsidR="00337FA6" w:rsidRDefault="00337FA6" w:rsidP="00337FA6">
      <w:pPr>
        <w:autoSpaceDE w:val="0"/>
        <w:autoSpaceDN w:val="0"/>
        <w:adjustRightInd w:val="0"/>
        <w:spacing w:after="0"/>
        <w:jc w:val="both"/>
        <w:rPr>
          <w:rFonts w:ascii="Times New Roman" w:hAnsi="Times New Roman" w:cs="Times New Roman"/>
          <w:sz w:val="24"/>
          <w:szCs w:val="24"/>
        </w:rPr>
      </w:pPr>
    </w:p>
    <w:p w14:paraId="748F12FD" w14:textId="59FA7410" w:rsidR="00337FA6" w:rsidRDefault="00337FA6" w:rsidP="00337FA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 lentelė</w:t>
      </w:r>
    </w:p>
    <w:bookmarkEnd w:id="1"/>
    <w:p w14:paraId="31F11A56" w14:textId="098C3322" w:rsidR="00B53554" w:rsidRDefault="00B53554" w:rsidP="00734D71">
      <w:pPr>
        <w:autoSpaceDE w:val="0"/>
        <w:autoSpaceDN w:val="0"/>
        <w:adjustRightInd w:val="0"/>
        <w:spacing w:after="0"/>
        <w:jc w:val="both"/>
        <w:rPr>
          <w:rFonts w:ascii="Times New Roman" w:hAnsi="Times New Roman" w:cs="Times New Roman"/>
          <w:sz w:val="24"/>
          <w:szCs w:val="24"/>
        </w:rPr>
      </w:pPr>
      <w:r w:rsidRPr="00B53554">
        <w:rPr>
          <w:noProof/>
          <w:lang w:eastAsia="lt-LT"/>
        </w:rPr>
        <w:drawing>
          <wp:inline distT="0" distB="0" distL="0" distR="0" wp14:anchorId="2689EB9B" wp14:editId="0B166288">
            <wp:extent cx="6120130" cy="2508250"/>
            <wp:effectExtent l="0" t="0" r="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508250"/>
                    </a:xfrm>
                    <a:prstGeom prst="rect">
                      <a:avLst/>
                    </a:prstGeom>
                    <a:noFill/>
                    <a:ln>
                      <a:noFill/>
                    </a:ln>
                  </pic:spPr>
                </pic:pic>
              </a:graphicData>
            </a:graphic>
          </wp:inline>
        </w:drawing>
      </w:r>
    </w:p>
    <w:p w14:paraId="35A162B0" w14:textId="77777777" w:rsidR="00634E8D" w:rsidRDefault="00634E8D" w:rsidP="00062720">
      <w:pPr>
        <w:autoSpaceDE w:val="0"/>
        <w:autoSpaceDN w:val="0"/>
        <w:adjustRightInd w:val="0"/>
        <w:spacing w:after="0"/>
        <w:ind w:firstLine="1296"/>
        <w:jc w:val="both"/>
        <w:rPr>
          <w:rFonts w:ascii="Times New Roman" w:hAnsi="Times New Roman" w:cs="Times New Roman"/>
          <w:sz w:val="24"/>
          <w:szCs w:val="24"/>
        </w:rPr>
      </w:pPr>
    </w:p>
    <w:p w14:paraId="73C11595" w14:textId="312A0F80" w:rsidR="00B53554" w:rsidRDefault="00B53554" w:rsidP="00062720">
      <w:pPr>
        <w:autoSpaceDE w:val="0"/>
        <w:autoSpaceDN w:val="0"/>
        <w:adjustRightInd w:val="0"/>
        <w:spacing w:after="0"/>
        <w:ind w:firstLine="1296"/>
        <w:jc w:val="both"/>
        <w:rPr>
          <w:rFonts w:ascii="Times New Roman" w:hAnsi="Times New Roman" w:cs="Times New Roman"/>
          <w:sz w:val="24"/>
          <w:szCs w:val="24"/>
        </w:rPr>
      </w:pPr>
      <w:r>
        <w:rPr>
          <w:rFonts w:ascii="Times New Roman" w:hAnsi="Times New Roman" w:cs="Times New Roman"/>
          <w:sz w:val="24"/>
          <w:szCs w:val="24"/>
        </w:rPr>
        <w:t>8 klasių moksleivi</w:t>
      </w:r>
      <w:r w:rsidR="00062720">
        <w:rPr>
          <w:rFonts w:ascii="Times New Roman" w:hAnsi="Times New Roman" w:cs="Times New Roman"/>
          <w:sz w:val="24"/>
          <w:szCs w:val="24"/>
        </w:rPr>
        <w:t>ų</w:t>
      </w:r>
      <w:r>
        <w:rPr>
          <w:rFonts w:ascii="Times New Roman" w:hAnsi="Times New Roman" w:cs="Times New Roman"/>
          <w:sz w:val="24"/>
          <w:szCs w:val="24"/>
        </w:rPr>
        <w:t xml:space="preserve"> skaitymo pasiekimų patikrinim</w:t>
      </w:r>
      <w:r w:rsidR="00062720">
        <w:rPr>
          <w:rFonts w:ascii="Times New Roman" w:hAnsi="Times New Roman" w:cs="Times New Roman"/>
          <w:sz w:val="24"/>
          <w:szCs w:val="24"/>
        </w:rPr>
        <w:t>o</w:t>
      </w:r>
      <w:r>
        <w:rPr>
          <w:rFonts w:ascii="Times New Roman" w:hAnsi="Times New Roman" w:cs="Times New Roman"/>
          <w:sz w:val="24"/>
          <w:szCs w:val="24"/>
        </w:rPr>
        <w:t xml:space="preserve"> rezultatai </w:t>
      </w:r>
      <w:r w:rsidR="00062720" w:rsidRPr="00062720">
        <w:rPr>
          <w:rFonts w:ascii="Times New Roman" w:hAnsi="Times New Roman" w:cs="Times New Roman"/>
          <w:sz w:val="24"/>
          <w:szCs w:val="24"/>
        </w:rPr>
        <w:t xml:space="preserve">atskirose mokyklose įvairuoja: vienur jie aukštesni už šalies vidurkį, kitur – tokie pat arba žemesni. Toliau </w:t>
      </w:r>
      <w:r w:rsidR="00337FA6">
        <w:rPr>
          <w:rFonts w:ascii="Times New Roman" w:hAnsi="Times New Roman" w:cs="Times New Roman"/>
          <w:sz w:val="24"/>
          <w:szCs w:val="24"/>
        </w:rPr>
        <w:t>10</w:t>
      </w:r>
      <w:r w:rsidR="00063FC3">
        <w:rPr>
          <w:rFonts w:ascii="Times New Roman" w:hAnsi="Times New Roman" w:cs="Times New Roman"/>
          <w:sz w:val="24"/>
          <w:szCs w:val="24"/>
        </w:rPr>
        <w:t xml:space="preserve"> </w:t>
      </w:r>
      <w:r w:rsidR="00062720" w:rsidRPr="00062720">
        <w:rPr>
          <w:rFonts w:ascii="Times New Roman" w:hAnsi="Times New Roman" w:cs="Times New Roman"/>
          <w:sz w:val="24"/>
          <w:szCs w:val="24"/>
        </w:rPr>
        <w:t xml:space="preserve">lentelėje pateikiami mokinių </w:t>
      </w:r>
      <w:r w:rsidR="00062720">
        <w:rPr>
          <w:rFonts w:ascii="Times New Roman" w:hAnsi="Times New Roman" w:cs="Times New Roman"/>
          <w:sz w:val="24"/>
          <w:szCs w:val="24"/>
        </w:rPr>
        <w:t>skaitymo</w:t>
      </w:r>
      <w:r w:rsidR="00062720" w:rsidRPr="00062720">
        <w:rPr>
          <w:rFonts w:ascii="Times New Roman" w:hAnsi="Times New Roman" w:cs="Times New Roman"/>
          <w:sz w:val="24"/>
          <w:szCs w:val="24"/>
        </w:rPr>
        <w:t xml:space="preserve"> pasiekimų patikrinimo rezultatai pagal mokyklas.</w:t>
      </w:r>
    </w:p>
    <w:p w14:paraId="214681A4" w14:textId="28E83045" w:rsidR="00063FC3" w:rsidRDefault="00063FC3" w:rsidP="00063FC3">
      <w:pPr>
        <w:autoSpaceDE w:val="0"/>
        <w:autoSpaceDN w:val="0"/>
        <w:adjustRightInd w:val="0"/>
        <w:spacing w:after="0"/>
        <w:jc w:val="both"/>
        <w:rPr>
          <w:rFonts w:ascii="Times New Roman" w:hAnsi="Times New Roman" w:cs="Times New Roman"/>
          <w:sz w:val="24"/>
          <w:szCs w:val="24"/>
        </w:rPr>
      </w:pPr>
    </w:p>
    <w:p w14:paraId="2A188928"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1B753954"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5756D0ED"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03866AA8"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2F9D1380"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3C8FB68E"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76D3D352"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4D7BB29C"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4FCFD75B"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65D69319" w14:textId="77777777" w:rsidR="00634E8D" w:rsidRDefault="00634E8D" w:rsidP="00063FC3">
      <w:pPr>
        <w:autoSpaceDE w:val="0"/>
        <w:autoSpaceDN w:val="0"/>
        <w:adjustRightInd w:val="0"/>
        <w:spacing w:after="0"/>
        <w:jc w:val="both"/>
        <w:rPr>
          <w:rFonts w:ascii="Times New Roman" w:hAnsi="Times New Roman" w:cs="Times New Roman"/>
          <w:sz w:val="24"/>
          <w:szCs w:val="24"/>
        </w:rPr>
      </w:pPr>
    </w:p>
    <w:p w14:paraId="6E9089AD" w14:textId="73858F47" w:rsidR="00063FC3" w:rsidRDefault="00337FA6" w:rsidP="00063FC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r w:rsidR="00063FC3">
        <w:rPr>
          <w:rFonts w:ascii="Times New Roman" w:hAnsi="Times New Roman" w:cs="Times New Roman"/>
          <w:sz w:val="24"/>
          <w:szCs w:val="24"/>
        </w:rPr>
        <w:t xml:space="preserve"> lentelė </w:t>
      </w:r>
    </w:p>
    <w:p w14:paraId="3E597967" w14:textId="479E08FE" w:rsidR="00062720" w:rsidRDefault="00062720" w:rsidP="00B53554">
      <w:pPr>
        <w:autoSpaceDE w:val="0"/>
        <w:autoSpaceDN w:val="0"/>
        <w:adjustRightInd w:val="0"/>
        <w:spacing w:after="0"/>
        <w:jc w:val="both"/>
        <w:rPr>
          <w:rFonts w:ascii="Times New Roman" w:hAnsi="Times New Roman" w:cs="Times New Roman"/>
          <w:sz w:val="24"/>
          <w:szCs w:val="24"/>
        </w:rPr>
      </w:pPr>
      <w:r w:rsidRPr="00062720">
        <w:rPr>
          <w:noProof/>
          <w:lang w:eastAsia="lt-LT"/>
        </w:rPr>
        <w:drawing>
          <wp:inline distT="0" distB="0" distL="0" distR="0" wp14:anchorId="7DEBD68C" wp14:editId="0833667B">
            <wp:extent cx="6120130" cy="2508250"/>
            <wp:effectExtent l="0" t="0" r="0" b="635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508250"/>
                    </a:xfrm>
                    <a:prstGeom prst="rect">
                      <a:avLst/>
                    </a:prstGeom>
                    <a:noFill/>
                    <a:ln>
                      <a:noFill/>
                    </a:ln>
                  </pic:spPr>
                </pic:pic>
              </a:graphicData>
            </a:graphic>
          </wp:inline>
        </w:drawing>
      </w:r>
    </w:p>
    <w:p w14:paraId="5A2FAA3E" w14:textId="71A2EB5F" w:rsidR="00062720" w:rsidRDefault="00062720" w:rsidP="00062720">
      <w:pPr>
        <w:autoSpaceDE w:val="0"/>
        <w:autoSpaceDN w:val="0"/>
        <w:adjustRightInd w:val="0"/>
        <w:spacing w:after="0"/>
        <w:jc w:val="both"/>
        <w:rPr>
          <w:rFonts w:ascii="Times New Roman" w:hAnsi="Times New Roman" w:cs="Times New Roman"/>
          <w:sz w:val="24"/>
          <w:szCs w:val="24"/>
        </w:rPr>
      </w:pPr>
    </w:p>
    <w:p w14:paraId="691DD01B" w14:textId="0E3D89C3" w:rsidR="002432DE" w:rsidRDefault="002432DE" w:rsidP="0006272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w:t>
      </w:r>
      <w:r w:rsidR="0008104E">
        <w:rPr>
          <w:rFonts w:ascii="Times New Roman" w:hAnsi="Times New Roman" w:cs="Times New Roman"/>
          <w:b/>
          <w:bCs/>
          <w:sz w:val="24"/>
          <w:szCs w:val="24"/>
        </w:rPr>
        <w:t>agrindinio ugdymo pasiekimų patikrinimas (PUPP)</w:t>
      </w:r>
    </w:p>
    <w:p w14:paraId="57A8DD2B" w14:textId="77777777" w:rsidR="00063FC3" w:rsidRDefault="00063FC3" w:rsidP="00062720">
      <w:pPr>
        <w:autoSpaceDE w:val="0"/>
        <w:autoSpaceDN w:val="0"/>
        <w:adjustRightInd w:val="0"/>
        <w:spacing w:after="0"/>
        <w:jc w:val="both"/>
        <w:rPr>
          <w:rFonts w:ascii="Times New Roman" w:hAnsi="Times New Roman" w:cs="Times New Roman"/>
          <w:b/>
          <w:bCs/>
          <w:sz w:val="24"/>
          <w:szCs w:val="24"/>
        </w:rPr>
      </w:pPr>
    </w:p>
    <w:p w14:paraId="1C233698" w14:textId="486EA897" w:rsidR="002432DE" w:rsidRDefault="002432DE" w:rsidP="00B7009F">
      <w:pPr>
        <w:autoSpaceDE w:val="0"/>
        <w:autoSpaceDN w:val="0"/>
        <w:adjustRightInd w:val="0"/>
        <w:spacing w:after="0"/>
        <w:ind w:firstLine="1296"/>
        <w:jc w:val="both"/>
        <w:rPr>
          <w:rFonts w:ascii="Times New Roman" w:hAnsi="Times New Roman" w:cs="Times New Roman"/>
          <w:sz w:val="24"/>
          <w:szCs w:val="24"/>
        </w:rPr>
      </w:pPr>
      <w:r w:rsidRPr="002432DE">
        <w:rPr>
          <w:rFonts w:ascii="Times New Roman" w:hAnsi="Times New Roman" w:cs="Times New Roman"/>
          <w:sz w:val="24"/>
          <w:szCs w:val="24"/>
        </w:rPr>
        <w:t xml:space="preserve">Rajono ugdymo įstaigų 10 kl. (II g) mokiniai dalyvavo pagrindinio ugdymo </w:t>
      </w:r>
      <w:r>
        <w:rPr>
          <w:rFonts w:ascii="Times New Roman" w:hAnsi="Times New Roman" w:cs="Times New Roman"/>
          <w:sz w:val="24"/>
          <w:szCs w:val="24"/>
        </w:rPr>
        <w:t xml:space="preserve">matematikos ir lietuvių kalbos ir literatūros </w:t>
      </w:r>
      <w:r w:rsidRPr="002432DE">
        <w:rPr>
          <w:rFonts w:ascii="Times New Roman" w:hAnsi="Times New Roman" w:cs="Times New Roman"/>
          <w:sz w:val="24"/>
          <w:szCs w:val="24"/>
        </w:rPr>
        <w:t xml:space="preserve">pasiekimų patikrinime. </w:t>
      </w:r>
      <w:r>
        <w:rPr>
          <w:rFonts w:ascii="Times New Roman" w:hAnsi="Times New Roman" w:cs="Times New Roman"/>
          <w:sz w:val="24"/>
          <w:szCs w:val="24"/>
        </w:rPr>
        <w:t xml:space="preserve">Lietuvių kalbos ir literatūros patenkinamo lygio rajone nepasiekė 6,19 proc. rajono 10 kl. mokinių. </w:t>
      </w:r>
      <w:r w:rsidR="008E06B6">
        <w:rPr>
          <w:rFonts w:ascii="Times New Roman" w:hAnsi="Times New Roman" w:cs="Times New Roman"/>
          <w:sz w:val="24"/>
          <w:szCs w:val="24"/>
        </w:rPr>
        <w:t xml:space="preserve">Aukštesnįjį lygį rajone pasiekė </w:t>
      </w:r>
      <w:r w:rsidR="00714FEF">
        <w:rPr>
          <w:rFonts w:ascii="Times New Roman" w:hAnsi="Times New Roman" w:cs="Times New Roman"/>
          <w:sz w:val="24"/>
          <w:szCs w:val="24"/>
        </w:rPr>
        <w:t xml:space="preserve">6,19 proc. pasiekimų patikrinime dalyvavusių 10 kl. mokinių. </w:t>
      </w:r>
      <w:r w:rsidR="00C630EE">
        <w:rPr>
          <w:rFonts w:ascii="Times New Roman" w:hAnsi="Times New Roman" w:cs="Times New Roman"/>
          <w:sz w:val="24"/>
          <w:szCs w:val="24"/>
        </w:rPr>
        <w:t xml:space="preserve">Šalies mokinių įvertinimų vidurkis siekia 6,5, o rajono – 6,18. 2020 m. dėl pandemijos ir karantino PUPP nevykdytas. 2019 m. lietuvių kalbos ir literatūros PUPP šalies mokinių vidurkis siekė 6,28, o Joniškio rajono – 5,45. Lyginant </w:t>
      </w:r>
      <w:r w:rsidR="00337FA6">
        <w:rPr>
          <w:rFonts w:ascii="Times New Roman" w:hAnsi="Times New Roman" w:cs="Times New Roman"/>
          <w:sz w:val="24"/>
          <w:szCs w:val="24"/>
        </w:rPr>
        <w:t xml:space="preserve"> </w:t>
      </w:r>
      <w:r w:rsidR="00C630EE">
        <w:rPr>
          <w:rFonts w:ascii="Times New Roman" w:hAnsi="Times New Roman" w:cs="Times New Roman"/>
          <w:sz w:val="24"/>
          <w:szCs w:val="24"/>
        </w:rPr>
        <w:t xml:space="preserve">2019 </w:t>
      </w:r>
      <w:r w:rsidR="00337FA6">
        <w:rPr>
          <w:rFonts w:ascii="Times New Roman" w:hAnsi="Times New Roman" w:cs="Times New Roman"/>
          <w:sz w:val="24"/>
          <w:szCs w:val="24"/>
        </w:rPr>
        <w:t xml:space="preserve">m. </w:t>
      </w:r>
      <w:r w:rsidR="00C630EE">
        <w:rPr>
          <w:rFonts w:ascii="Times New Roman" w:hAnsi="Times New Roman" w:cs="Times New Roman"/>
          <w:sz w:val="24"/>
          <w:szCs w:val="24"/>
        </w:rPr>
        <w:t xml:space="preserve">ir 2021 m. vidurkius matyti, kad rajono mokinių rezultatų vidurkis pagerėjo. </w:t>
      </w:r>
    </w:p>
    <w:p w14:paraId="02C05C2F" w14:textId="77777777" w:rsidR="00063FC3" w:rsidRDefault="00063FC3" w:rsidP="00062720">
      <w:pPr>
        <w:autoSpaceDE w:val="0"/>
        <w:autoSpaceDN w:val="0"/>
        <w:adjustRightInd w:val="0"/>
        <w:spacing w:after="0"/>
        <w:jc w:val="both"/>
        <w:rPr>
          <w:rFonts w:ascii="Times New Roman" w:hAnsi="Times New Roman" w:cs="Times New Roman"/>
          <w:sz w:val="24"/>
          <w:szCs w:val="24"/>
        </w:rPr>
      </w:pPr>
    </w:p>
    <w:p w14:paraId="0CAF07D1" w14:textId="25E26363" w:rsidR="002432DE" w:rsidRDefault="00063FC3" w:rsidP="0006272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r w:rsidR="00337FA6">
        <w:rPr>
          <w:rFonts w:ascii="Times New Roman" w:hAnsi="Times New Roman" w:cs="Times New Roman"/>
          <w:sz w:val="24"/>
          <w:szCs w:val="24"/>
        </w:rPr>
        <w:t>1</w:t>
      </w:r>
      <w:r>
        <w:rPr>
          <w:rFonts w:ascii="Times New Roman" w:hAnsi="Times New Roman" w:cs="Times New Roman"/>
          <w:sz w:val="24"/>
          <w:szCs w:val="24"/>
        </w:rPr>
        <w:t xml:space="preserve"> lentelė</w:t>
      </w:r>
    </w:p>
    <w:p w14:paraId="6B0D7E77" w14:textId="6F77F7EA" w:rsidR="002432DE" w:rsidRPr="002432DE" w:rsidRDefault="002432DE" w:rsidP="00062720">
      <w:pPr>
        <w:autoSpaceDE w:val="0"/>
        <w:autoSpaceDN w:val="0"/>
        <w:adjustRightInd w:val="0"/>
        <w:spacing w:after="0"/>
        <w:jc w:val="both"/>
        <w:rPr>
          <w:rFonts w:ascii="Times New Roman" w:hAnsi="Times New Roman" w:cs="Times New Roman"/>
          <w:sz w:val="24"/>
          <w:szCs w:val="24"/>
        </w:rPr>
      </w:pPr>
      <w:r w:rsidRPr="002432DE">
        <w:rPr>
          <w:noProof/>
          <w:lang w:eastAsia="lt-LT"/>
        </w:rPr>
        <w:drawing>
          <wp:inline distT="0" distB="0" distL="0" distR="0" wp14:anchorId="12801003" wp14:editId="378C8241">
            <wp:extent cx="6119634" cy="3093522"/>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8602" cy="3098056"/>
                    </a:xfrm>
                    <a:prstGeom prst="rect">
                      <a:avLst/>
                    </a:prstGeom>
                    <a:noFill/>
                    <a:ln>
                      <a:noFill/>
                    </a:ln>
                  </pic:spPr>
                </pic:pic>
              </a:graphicData>
            </a:graphic>
          </wp:inline>
        </w:drawing>
      </w:r>
    </w:p>
    <w:p w14:paraId="5ACC2411" w14:textId="77777777" w:rsidR="00337FA6" w:rsidRDefault="00337FA6" w:rsidP="00062720">
      <w:pPr>
        <w:autoSpaceDE w:val="0"/>
        <w:autoSpaceDN w:val="0"/>
        <w:adjustRightInd w:val="0"/>
        <w:spacing w:after="0"/>
        <w:jc w:val="both"/>
        <w:rPr>
          <w:rFonts w:ascii="Times New Roman" w:hAnsi="Times New Roman" w:cs="Times New Roman"/>
          <w:sz w:val="24"/>
          <w:szCs w:val="24"/>
        </w:rPr>
      </w:pPr>
    </w:p>
    <w:p w14:paraId="181BF8BC" w14:textId="18F2D71B" w:rsidR="008E06B6" w:rsidRDefault="00714FEF" w:rsidP="00062720">
      <w:pPr>
        <w:autoSpaceDE w:val="0"/>
        <w:autoSpaceDN w:val="0"/>
        <w:adjustRightInd w:val="0"/>
        <w:spacing w:after="0"/>
        <w:jc w:val="both"/>
        <w:rPr>
          <w:rFonts w:ascii="Times New Roman" w:hAnsi="Times New Roman" w:cs="Times New Roman"/>
          <w:sz w:val="24"/>
          <w:szCs w:val="24"/>
        </w:rPr>
      </w:pPr>
      <w:r w:rsidRPr="00C630EE">
        <w:rPr>
          <w:rFonts w:ascii="Times New Roman" w:hAnsi="Times New Roman" w:cs="Times New Roman"/>
          <w:sz w:val="24"/>
          <w:szCs w:val="24"/>
        </w:rPr>
        <w:t>Pagrindinio ugdymo matematikos pasiekimų patikrinimo</w:t>
      </w:r>
      <w:r w:rsidR="00C630EE" w:rsidRPr="00C630EE">
        <w:rPr>
          <w:rFonts w:ascii="Times New Roman" w:hAnsi="Times New Roman" w:cs="Times New Roman"/>
          <w:sz w:val="24"/>
          <w:szCs w:val="24"/>
        </w:rPr>
        <w:t xml:space="preserve"> </w:t>
      </w:r>
      <w:r w:rsidR="00C630EE">
        <w:rPr>
          <w:rFonts w:ascii="Times New Roman" w:hAnsi="Times New Roman" w:cs="Times New Roman"/>
          <w:sz w:val="24"/>
          <w:szCs w:val="24"/>
        </w:rPr>
        <w:t xml:space="preserve">rezultatai pateikiami toliau </w:t>
      </w:r>
      <w:r w:rsidR="00063FC3">
        <w:rPr>
          <w:rFonts w:ascii="Times New Roman" w:hAnsi="Times New Roman" w:cs="Times New Roman"/>
          <w:sz w:val="24"/>
          <w:szCs w:val="24"/>
        </w:rPr>
        <w:t>1</w:t>
      </w:r>
      <w:r w:rsidR="00337FA6">
        <w:rPr>
          <w:rFonts w:ascii="Times New Roman" w:hAnsi="Times New Roman" w:cs="Times New Roman"/>
          <w:sz w:val="24"/>
          <w:szCs w:val="24"/>
        </w:rPr>
        <w:t>2</w:t>
      </w:r>
      <w:r w:rsidR="00063FC3">
        <w:rPr>
          <w:rFonts w:ascii="Times New Roman" w:hAnsi="Times New Roman" w:cs="Times New Roman"/>
          <w:sz w:val="24"/>
          <w:szCs w:val="24"/>
        </w:rPr>
        <w:t xml:space="preserve"> </w:t>
      </w:r>
      <w:r w:rsidR="00C630EE">
        <w:rPr>
          <w:rFonts w:ascii="Times New Roman" w:hAnsi="Times New Roman" w:cs="Times New Roman"/>
          <w:sz w:val="24"/>
          <w:szCs w:val="24"/>
        </w:rPr>
        <w:t xml:space="preserve">lentelėje. </w:t>
      </w:r>
    </w:p>
    <w:p w14:paraId="0F6DDF46" w14:textId="5618ABD2" w:rsidR="00C630EE" w:rsidRDefault="00C630EE" w:rsidP="00062720">
      <w:pPr>
        <w:autoSpaceDE w:val="0"/>
        <w:autoSpaceDN w:val="0"/>
        <w:adjustRightInd w:val="0"/>
        <w:spacing w:after="0"/>
        <w:jc w:val="both"/>
        <w:rPr>
          <w:rFonts w:ascii="Times New Roman" w:hAnsi="Times New Roman" w:cs="Times New Roman"/>
          <w:sz w:val="24"/>
          <w:szCs w:val="24"/>
        </w:rPr>
      </w:pPr>
    </w:p>
    <w:p w14:paraId="0B847EC5" w14:textId="3742D94B" w:rsidR="00063FC3" w:rsidRPr="00C630EE" w:rsidRDefault="00063FC3" w:rsidP="0006272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337FA6">
        <w:rPr>
          <w:rFonts w:ascii="Times New Roman" w:hAnsi="Times New Roman" w:cs="Times New Roman"/>
          <w:sz w:val="24"/>
          <w:szCs w:val="24"/>
        </w:rPr>
        <w:t>2</w:t>
      </w:r>
      <w:r>
        <w:rPr>
          <w:rFonts w:ascii="Times New Roman" w:hAnsi="Times New Roman" w:cs="Times New Roman"/>
          <w:sz w:val="24"/>
          <w:szCs w:val="24"/>
        </w:rPr>
        <w:t xml:space="preserve"> lentelė </w:t>
      </w:r>
    </w:p>
    <w:p w14:paraId="27DD4513" w14:textId="39C9836A" w:rsidR="008E06B6" w:rsidRDefault="00C630EE" w:rsidP="00062720">
      <w:pPr>
        <w:autoSpaceDE w:val="0"/>
        <w:autoSpaceDN w:val="0"/>
        <w:adjustRightInd w:val="0"/>
        <w:spacing w:after="0"/>
        <w:jc w:val="both"/>
        <w:rPr>
          <w:rFonts w:ascii="Times New Roman" w:hAnsi="Times New Roman" w:cs="Times New Roman"/>
          <w:b/>
          <w:bCs/>
          <w:sz w:val="24"/>
          <w:szCs w:val="24"/>
        </w:rPr>
      </w:pPr>
      <w:r w:rsidRPr="00C630EE">
        <w:rPr>
          <w:noProof/>
          <w:lang w:eastAsia="lt-LT"/>
        </w:rPr>
        <w:drawing>
          <wp:inline distT="0" distB="0" distL="0" distR="0" wp14:anchorId="4F70A9AF" wp14:editId="52842810">
            <wp:extent cx="6120130" cy="3230088"/>
            <wp:effectExtent l="0" t="0" r="0" b="889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740" cy="3234105"/>
                    </a:xfrm>
                    <a:prstGeom prst="rect">
                      <a:avLst/>
                    </a:prstGeom>
                    <a:noFill/>
                    <a:ln>
                      <a:noFill/>
                    </a:ln>
                  </pic:spPr>
                </pic:pic>
              </a:graphicData>
            </a:graphic>
          </wp:inline>
        </w:drawing>
      </w:r>
    </w:p>
    <w:p w14:paraId="1CE271D4" w14:textId="77777777" w:rsidR="00C34B35" w:rsidRDefault="00C34B35" w:rsidP="00B7009F">
      <w:pPr>
        <w:autoSpaceDE w:val="0"/>
        <w:autoSpaceDN w:val="0"/>
        <w:adjustRightInd w:val="0"/>
        <w:spacing w:after="0"/>
        <w:ind w:firstLine="1296"/>
        <w:jc w:val="both"/>
        <w:rPr>
          <w:rFonts w:ascii="Times New Roman" w:hAnsi="Times New Roman" w:cs="Times New Roman"/>
          <w:sz w:val="24"/>
          <w:szCs w:val="24"/>
        </w:rPr>
      </w:pPr>
    </w:p>
    <w:p w14:paraId="3951817F" w14:textId="4BEDEF01" w:rsidR="00C630EE" w:rsidRPr="00C630EE" w:rsidRDefault="00C630EE" w:rsidP="00B7009F">
      <w:pPr>
        <w:autoSpaceDE w:val="0"/>
        <w:autoSpaceDN w:val="0"/>
        <w:adjustRightInd w:val="0"/>
        <w:spacing w:after="0"/>
        <w:ind w:firstLine="1296"/>
        <w:jc w:val="both"/>
        <w:rPr>
          <w:rFonts w:ascii="Times New Roman" w:hAnsi="Times New Roman" w:cs="Times New Roman"/>
          <w:sz w:val="24"/>
          <w:szCs w:val="24"/>
        </w:rPr>
      </w:pPr>
      <w:r w:rsidRPr="00C630EE">
        <w:rPr>
          <w:rFonts w:ascii="Times New Roman" w:hAnsi="Times New Roman" w:cs="Times New Roman"/>
          <w:sz w:val="24"/>
          <w:szCs w:val="24"/>
        </w:rPr>
        <w:t xml:space="preserve">Šalies mokinių </w:t>
      </w:r>
      <w:r>
        <w:rPr>
          <w:rFonts w:ascii="Times New Roman" w:hAnsi="Times New Roman" w:cs="Times New Roman"/>
          <w:sz w:val="24"/>
          <w:szCs w:val="24"/>
        </w:rPr>
        <w:t xml:space="preserve">matematikos PUPP </w:t>
      </w:r>
      <w:r w:rsidRPr="00C630EE">
        <w:rPr>
          <w:rFonts w:ascii="Times New Roman" w:hAnsi="Times New Roman" w:cs="Times New Roman"/>
          <w:sz w:val="24"/>
          <w:szCs w:val="24"/>
        </w:rPr>
        <w:t xml:space="preserve">įvertinimų vidurkis siekia </w:t>
      </w:r>
      <w:r w:rsidR="00B7009F">
        <w:rPr>
          <w:rFonts w:ascii="Times New Roman" w:hAnsi="Times New Roman" w:cs="Times New Roman"/>
          <w:sz w:val="24"/>
          <w:szCs w:val="24"/>
        </w:rPr>
        <w:t>6,12</w:t>
      </w:r>
      <w:r w:rsidRPr="00C630EE">
        <w:rPr>
          <w:rFonts w:ascii="Times New Roman" w:hAnsi="Times New Roman" w:cs="Times New Roman"/>
          <w:sz w:val="24"/>
          <w:szCs w:val="24"/>
        </w:rPr>
        <w:t xml:space="preserve"> o rajono – </w:t>
      </w:r>
      <w:r w:rsidR="00B7009F">
        <w:rPr>
          <w:rFonts w:ascii="Times New Roman" w:hAnsi="Times New Roman" w:cs="Times New Roman"/>
          <w:sz w:val="24"/>
          <w:szCs w:val="24"/>
        </w:rPr>
        <w:t>5,15</w:t>
      </w:r>
      <w:r w:rsidRPr="00C630EE">
        <w:rPr>
          <w:rFonts w:ascii="Times New Roman" w:hAnsi="Times New Roman" w:cs="Times New Roman"/>
          <w:sz w:val="24"/>
          <w:szCs w:val="24"/>
        </w:rPr>
        <w:t xml:space="preserve">. 2020 m. dėl pandemijos ir karantino PUPP nevykdytas. 2019 m. </w:t>
      </w:r>
      <w:r w:rsidR="00B7009F" w:rsidRPr="00C630EE">
        <w:rPr>
          <w:rFonts w:ascii="Times New Roman" w:hAnsi="Times New Roman" w:cs="Times New Roman"/>
          <w:sz w:val="24"/>
          <w:szCs w:val="24"/>
        </w:rPr>
        <w:t>m</w:t>
      </w:r>
      <w:r w:rsidR="00B7009F">
        <w:rPr>
          <w:rFonts w:ascii="Times New Roman" w:hAnsi="Times New Roman" w:cs="Times New Roman"/>
          <w:sz w:val="24"/>
          <w:szCs w:val="24"/>
        </w:rPr>
        <w:t>atematikos</w:t>
      </w:r>
      <w:r w:rsidRPr="00C630EE">
        <w:rPr>
          <w:rFonts w:ascii="Times New Roman" w:hAnsi="Times New Roman" w:cs="Times New Roman"/>
          <w:sz w:val="24"/>
          <w:szCs w:val="24"/>
        </w:rPr>
        <w:t xml:space="preserve"> PUPP šalies mokinių vidurkis siekė </w:t>
      </w:r>
      <w:r w:rsidR="00B7009F">
        <w:rPr>
          <w:rFonts w:ascii="Times New Roman" w:hAnsi="Times New Roman" w:cs="Times New Roman"/>
          <w:sz w:val="24"/>
          <w:szCs w:val="24"/>
        </w:rPr>
        <w:t>5,29</w:t>
      </w:r>
      <w:r w:rsidRPr="00C630EE">
        <w:rPr>
          <w:rFonts w:ascii="Times New Roman" w:hAnsi="Times New Roman" w:cs="Times New Roman"/>
          <w:sz w:val="24"/>
          <w:szCs w:val="24"/>
        </w:rPr>
        <w:t xml:space="preserve">, o Joniškio rajono – </w:t>
      </w:r>
      <w:r w:rsidR="00B7009F">
        <w:rPr>
          <w:rFonts w:ascii="Times New Roman" w:hAnsi="Times New Roman" w:cs="Times New Roman"/>
          <w:sz w:val="24"/>
          <w:szCs w:val="24"/>
        </w:rPr>
        <w:t>4,43</w:t>
      </w:r>
      <w:r w:rsidRPr="00C630EE">
        <w:rPr>
          <w:rFonts w:ascii="Times New Roman" w:hAnsi="Times New Roman" w:cs="Times New Roman"/>
          <w:sz w:val="24"/>
          <w:szCs w:val="24"/>
        </w:rPr>
        <w:t>. Lyginant 2019 ir 2021 m. vidurkius matyti, kad rajono mokinių rezultatų vidurkis pagerėjo</w:t>
      </w:r>
      <w:r w:rsidR="00B7009F">
        <w:rPr>
          <w:rFonts w:ascii="Times New Roman" w:hAnsi="Times New Roman" w:cs="Times New Roman"/>
          <w:sz w:val="24"/>
          <w:szCs w:val="24"/>
        </w:rPr>
        <w:t xml:space="preserve">, nors šalies vidurkio nesiekia. </w:t>
      </w:r>
      <w:r w:rsidR="004B5AC9">
        <w:rPr>
          <w:rFonts w:ascii="Times New Roman" w:hAnsi="Times New Roman" w:cs="Times New Roman"/>
          <w:sz w:val="24"/>
          <w:szCs w:val="24"/>
        </w:rPr>
        <w:t xml:space="preserve">Rajone tik nedidelė dalis mokinių pasiekia aukštesnįjį pasiekimų lygį, didžiosios rajono mokinių dalies PUPP rezultatai – pagrindinio arba patenkinamo lygio.  </w:t>
      </w:r>
    </w:p>
    <w:p w14:paraId="1C968366" w14:textId="77777777" w:rsidR="00C630EE" w:rsidRPr="00C630EE" w:rsidRDefault="00C630EE" w:rsidP="00062720">
      <w:pPr>
        <w:autoSpaceDE w:val="0"/>
        <w:autoSpaceDN w:val="0"/>
        <w:adjustRightInd w:val="0"/>
        <w:spacing w:after="0"/>
        <w:jc w:val="both"/>
        <w:rPr>
          <w:rFonts w:ascii="Times New Roman" w:hAnsi="Times New Roman" w:cs="Times New Roman"/>
          <w:sz w:val="24"/>
          <w:szCs w:val="24"/>
        </w:rPr>
      </w:pPr>
    </w:p>
    <w:p w14:paraId="122C8AC9" w14:textId="337E578D" w:rsidR="00062720" w:rsidRPr="00062720" w:rsidRDefault="00062720" w:rsidP="00062720">
      <w:pPr>
        <w:autoSpaceDE w:val="0"/>
        <w:autoSpaceDN w:val="0"/>
        <w:adjustRightInd w:val="0"/>
        <w:spacing w:after="0"/>
        <w:jc w:val="both"/>
        <w:rPr>
          <w:rFonts w:ascii="Times New Roman" w:hAnsi="Times New Roman" w:cs="Times New Roman"/>
          <w:b/>
          <w:bCs/>
          <w:sz w:val="24"/>
          <w:szCs w:val="24"/>
        </w:rPr>
      </w:pPr>
      <w:r w:rsidRPr="00062720">
        <w:rPr>
          <w:rFonts w:ascii="Times New Roman" w:hAnsi="Times New Roman" w:cs="Times New Roman"/>
          <w:b/>
          <w:bCs/>
          <w:sz w:val="24"/>
          <w:szCs w:val="24"/>
        </w:rPr>
        <w:t xml:space="preserve">Brandos egzaminai </w:t>
      </w:r>
      <w:r w:rsidR="0008104E">
        <w:rPr>
          <w:rFonts w:ascii="Times New Roman" w:hAnsi="Times New Roman" w:cs="Times New Roman"/>
          <w:b/>
          <w:bCs/>
          <w:sz w:val="24"/>
          <w:szCs w:val="24"/>
        </w:rPr>
        <w:t xml:space="preserve">(MBE ir VBE) </w:t>
      </w:r>
      <w:r w:rsidRPr="00062720">
        <w:rPr>
          <w:rFonts w:ascii="Times New Roman" w:hAnsi="Times New Roman" w:cs="Times New Roman"/>
          <w:b/>
          <w:bCs/>
          <w:sz w:val="24"/>
          <w:szCs w:val="24"/>
        </w:rPr>
        <w:t>ir jų rezultatai</w:t>
      </w:r>
    </w:p>
    <w:p w14:paraId="11BBBB05" w14:textId="77777777" w:rsidR="00062720" w:rsidRDefault="00062720" w:rsidP="00062720">
      <w:pPr>
        <w:autoSpaceDE w:val="0"/>
        <w:autoSpaceDN w:val="0"/>
        <w:adjustRightInd w:val="0"/>
        <w:spacing w:after="0"/>
        <w:jc w:val="both"/>
        <w:rPr>
          <w:rFonts w:ascii="Times New Roman" w:hAnsi="Times New Roman" w:cs="Times New Roman"/>
          <w:sz w:val="24"/>
          <w:szCs w:val="24"/>
        </w:rPr>
      </w:pPr>
    </w:p>
    <w:p w14:paraId="042AEBF9" w14:textId="475A76F9" w:rsidR="00F465DE" w:rsidRPr="00AE13D2" w:rsidRDefault="00F465DE" w:rsidP="00AE13D2">
      <w:pPr>
        <w:autoSpaceDE w:val="0"/>
        <w:autoSpaceDN w:val="0"/>
        <w:adjustRightInd w:val="0"/>
        <w:spacing w:after="0"/>
        <w:ind w:firstLine="1296"/>
        <w:jc w:val="both"/>
        <w:rPr>
          <w:rFonts w:ascii="Times New Roman" w:hAnsi="Times New Roman" w:cs="Times New Roman"/>
          <w:sz w:val="24"/>
          <w:szCs w:val="24"/>
        </w:rPr>
      </w:pPr>
      <w:r w:rsidRPr="00AE13D2">
        <w:rPr>
          <w:rFonts w:ascii="Times New Roman" w:hAnsi="Times New Roman" w:cs="Times New Roman"/>
          <w:sz w:val="24"/>
          <w:szCs w:val="24"/>
        </w:rPr>
        <w:t xml:space="preserve">2021 metais Joniškio rajono ugdymo įstaigų abiturientai pasirinko laikyti 8 valstybinius ir 3 mokyklinius brandos egzaminus. </w:t>
      </w:r>
      <w:r w:rsidR="004B5AC9">
        <w:rPr>
          <w:rFonts w:ascii="Times New Roman" w:hAnsi="Times New Roman" w:cs="Times New Roman"/>
          <w:sz w:val="24"/>
          <w:szCs w:val="24"/>
        </w:rPr>
        <w:t xml:space="preserve">Mokyklinius egzaminus laikyti renkasi daugiausia Joniškio „Aušros“ gimnazijos Suaugusiųjų skyriaus mokiniai. Mokiniai laiko lietuvių kalbos ir literatūros,, menų ir technologijų mokyklinius brandos egzaminus. </w:t>
      </w:r>
    </w:p>
    <w:p w14:paraId="55302872" w14:textId="112935B9" w:rsidR="00320B62" w:rsidRPr="00AE13D2" w:rsidRDefault="00320B62" w:rsidP="00D04954">
      <w:pPr>
        <w:autoSpaceDE w:val="0"/>
        <w:autoSpaceDN w:val="0"/>
        <w:adjustRightInd w:val="0"/>
        <w:spacing w:after="0"/>
        <w:ind w:firstLine="1296"/>
        <w:jc w:val="both"/>
        <w:rPr>
          <w:rFonts w:ascii="Times New Roman" w:hAnsi="Times New Roman" w:cs="Times New Roman"/>
          <w:sz w:val="24"/>
          <w:szCs w:val="24"/>
        </w:rPr>
      </w:pPr>
      <w:r w:rsidRPr="00AE13D2">
        <w:rPr>
          <w:rFonts w:ascii="Times New Roman" w:hAnsi="Times New Roman" w:cs="Times New Roman"/>
          <w:sz w:val="24"/>
          <w:szCs w:val="24"/>
        </w:rPr>
        <w:t xml:space="preserve">2021m. biologijos valstybinį brandos egzaminą šalyje laikė 5582 kandidatai. Egzaminą išlaikė 97,2 proc. (2020 m. – 97,7 proc.) kandidatų. 100 balų įvertinimą gavo 2,8 proc. kandidatų (2020 m.  – 1,5 proc.). Joniškio rajone biologijos valstybinį brandos egzaminą laikė 38 kandidatai (28 ,,Aušros“ gimnazijos, 1 Skaistgirio gimnazijos, 7 Žagarės gimnazijos ir 2 Žemės ūkio mokyklos). 97,37 proc. laikiusių kandidatų jį išlaikė (vienas kandidatas šio egzamino neišlaikė, tai sudaro 2,63 proc. visų rajone laikiusių kandidatų). Penki kandidatai iš biologijos egzamino surinko nuo 86 iki 99 balų. </w:t>
      </w:r>
    </w:p>
    <w:p w14:paraId="4231AC2B" w14:textId="77DE2A87" w:rsidR="00320B62" w:rsidRPr="00AE13D2" w:rsidRDefault="00320B62" w:rsidP="00D04954">
      <w:pPr>
        <w:autoSpaceDE w:val="0"/>
        <w:autoSpaceDN w:val="0"/>
        <w:adjustRightInd w:val="0"/>
        <w:spacing w:after="0"/>
        <w:ind w:firstLine="1296"/>
        <w:jc w:val="both"/>
        <w:rPr>
          <w:rFonts w:ascii="Times New Roman" w:hAnsi="Times New Roman" w:cs="Times New Roman"/>
          <w:sz w:val="24"/>
          <w:szCs w:val="24"/>
        </w:rPr>
      </w:pPr>
      <w:r w:rsidRPr="00AE13D2">
        <w:rPr>
          <w:rFonts w:ascii="Times New Roman" w:hAnsi="Times New Roman" w:cs="Times New Roman"/>
          <w:sz w:val="24"/>
          <w:szCs w:val="24"/>
        </w:rPr>
        <w:t xml:space="preserve">2021 m. geografijos valstybinį brandos egzaminą šalyje laikė 2842 kandidatai. Egzaminą išlaikė 98 proc. (2020 m. – 99 proc.) kandidatų. Šimto balų įvertinimą gavo 0,5 proc. kandidatų (2020 m. – 1 proc.). Joniškio rajone geografijos valstybinį brandos egzaminą laikė 56 kandidatai (40 ,,Aušros“ gimnazijos, 10 Skaistgirio gimnazijos ir 6 Žagarės gimnazijos). Visi rajone laikiusieji šį egzaminą išlaikė, du kandidatai gavo 100 balų įvertinimą. Vienas šimtuku įvertintas moksleivis mokosi ,,Aušros“ gimnazijoje, kitas – Žagarės gimnazijoje. </w:t>
      </w:r>
    </w:p>
    <w:p w14:paraId="4F83C6C0" w14:textId="77777777" w:rsidR="0074213B" w:rsidRPr="00AE13D2" w:rsidRDefault="0074213B" w:rsidP="00D04954">
      <w:pPr>
        <w:autoSpaceDE w:val="0"/>
        <w:autoSpaceDN w:val="0"/>
        <w:adjustRightInd w:val="0"/>
        <w:spacing w:after="0"/>
        <w:ind w:firstLine="1296"/>
        <w:jc w:val="both"/>
        <w:rPr>
          <w:rFonts w:ascii="Times New Roman" w:hAnsi="Times New Roman" w:cs="Times New Roman"/>
          <w:sz w:val="24"/>
          <w:szCs w:val="24"/>
        </w:rPr>
      </w:pPr>
      <w:r w:rsidRPr="00AE13D2">
        <w:rPr>
          <w:rFonts w:ascii="Times New Roman" w:hAnsi="Times New Roman" w:cs="Times New Roman"/>
          <w:sz w:val="24"/>
          <w:szCs w:val="24"/>
        </w:rPr>
        <w:lastRenderedPageBreak/>
        <w:t xml:space="preserve">Lietuvių kalbos ir literatūros brandos egzaminą šalyje laikė 16661 kandidatas, iš jų Joniškio rajone – 108. Šį egzaminą šalyje išlaikė 91,4 proc. abiturientų. Joniškio rajone lietuvių kalbos ir literatūros egzaminas sėkmingas buvo 97 kandidatams (tai sudaro 89, 81 proc. visų rajone laikiusių kandidatų). 15 egzaminą laikiusių rajono abiturientų (iš jų 13 ,,Aušros“ gimnazijos, po vieną iš Skaistgirio ir Žagarės gimnazijos) darbų įvertinti nuo 86 iki 99 balų. </w:t>
      </w:r>
    </w:p>
    <w:p w14:paraId="0D6C8666" w14:textId="62FF39E4" w:rsidR="0074213B" w:rsidRPr="00AE13D2" w:rsidRDefault="0074213B" w:rsidP="00D04954">
      <w:pPr>
        <w:autoSpaceDE w:val="0"/>
        <w:autoSpaceDN w:val="0"/>
        <w:adjustRightInd w:val="0"/>
        <w:spacing w:after="0"/>
        <w:ind w:firstLine="1296"/>
        <w:jc w:val="both"/>
        <w:rPr>
          <w:rFonts w:ascii="Times New Roman" w:hAnsi="Times New Roman" w:cs="Times New Roman"/>
          <w:sz w:val="24"/>
          <w:szCs w:val="24"/>
        </w:rPr>
      </w:pPr>
      <w:r w:rsidRPr="00AE13D2">
        <w:rPr>
          <w:rFonts w:ascii="Times New Roman" w:hAnsi="Times New Roman" w:cs="Times New Roman"/>
          <w:sz w:val="24"/>
          <w:szCs w:val="24"/>
        </w:rPr>
        <w:t xml:space="preserve">Matematikos egzaminą šalyje laikė 15149 kandidatai, iš jų 97 – Joniškio rajone. Matematikos egzaminą šalyje išlaikė 84,8 proc. abiturientų, o neišlaikė 15,2 proc. Joniškio rajone šį egzaminą išlaikė 86 kandidatai (tai sudaro 88,66 proc. visų rajone laikiusių kandidatų). Keturių kandidatų darbai įvertinti 86–99 balais, visi aukščiausią lygį pasiekę kandidatai mokosi ,,Aušros“ gimnazijoje.  </w:t>
      </w:r>
    </w:p>
    <w:p w14:paraId="11D60747" w14:textId="2E7D5FB7" w:rsidR="00320B62" w:rsidRPr="00AE13D2" w:rsidRDefault="0074213B" w:rsidP="00D04954">
      <w:pPr>
        <w:autoSpaceDE w:val="0"/>
        <w:autoSpaceDN w:val="0"/>
        <w:adjustRightInd w:val="0"/>
        <w:spacing w:after="0"/>
        <w:ind w:firstLine="1296"/>
        <w:jc w:val="both"/>
        <w:rPr>
          <w:rFonts w:ascii="Times New Roman" w:hAnsi="Times New Roman" w:cs="Times New Roman"/>
          <w:sz w:val="24"/>
          <w:szCs w:val="24"/>
        </w:rPr>
      </w:pPr>
      <w:r w:rsidRPr="00AE13D2">
        <w:rPr>
          <w:rFonts w:ascii="Times New Roman" w:hAnsi="Times New Roman" w:cs="Times New Roman"/>
          <w:sz w:val="24"/>
          <w:szCs w:val="24"/>
        </w:rPr>
        <w:t xml:space="preserve">Informacinių technologijų valstybinis brandos egzaminas yra vienas iš tų, kurį tiek šalies, tiek rajono moksleiviai renkasi mažiausiai. Šalyje šį egzaminą laikė 2139 kandidatai, iš jų 11 Joniškio rajono gimnazijų moksleiviai. Informacinių technologijų egzaminą išlaikė 91,3 proc. šalies abiturientų. Joniškio rajone šį egzaminą išlaikė 10 kandidatų (tai sudaro 90,91 proc. visų laikiusių). Trys ,,Aušros“ gimnazijos abiturientai už šį egzaminą surinko 86–99 balus. </w:t>
      </w:r>
    </w:p>
    <w:p w14:paraId="0DAB9E03" w14:textId="77777777" w:rsidR="00337FA6" w:rsidRDefault="00063FC3" w:rsidP="00D04954">
      <w:pPr>
        <w:pStyle w:val="Betarp"/>
        <w:spacing w:line="276"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337FA6">
        <w:rPr>
          <w:rFonts w:ascii="Times New Roman" w:hAnsi="Times New Roman" w:cs="Times New Roman"/>
          <w:sz w:val="24"/>
          <w:szCs w:val="24"/>
        </w:rPr>
        <w:t>3</w:t>
      </w:r>
      <w:r>
        <w:rPr>
          <w:rFonts w:ascii="Times New Roman" w:hAnsi="Times New Roman" w:cs="Times New Roman"/>
          <w:sz w:val="24"/>
          <w:szCs w:val="24"/>
        </w:rPr>
        <w:t xml:space="preserve"> l</w:t>
      </w:r>
      <w:r w:rsidR="0074213B" w:rsidRPr="00AE13D2">
        <w:rPr>
          <w:rFonts w:ascii="Times New Roman" w:hAnsi="Times New Roman" w:cs="Times New Roman"/>
          <w:sz w:val="24"/>
          <w:szCs w:val="24"/>
        </w:rPr>
        <w:t>entelėje pateikiamas rajono savivaldybės mokyklų 2021 m. procentinių dalių ir vidutinių įvertinimų palyginimas su šalies bendrojo ugdymo mokyklų rodikliais pagal egzaminus.</w:t>
      </w:r>
      <w:r w:rsidR="009C2765">
        <w:rPr>
          <w:rFonts w:ascii="Times New Roman" w:hAnsi="Times New Roman" w:cs="Times New Roman"/>
          <w:sz w:val="24"/>
          <w:szCs w:val="24"/>
        </w:rPr>
        <w:t xml:space="preserve"> Kaip rodo duomenys, rajono ugdymo įstaigų abiturientų daugumos brandos egzaminų vidurkis yra didesnis už šalies vidurkius, išskyrus informacinių technologijų egzaminą. </w:t>
      </w:r>
      <w:r w:rsidR="00C34B35">
        <w:rPr>
          <w:rFonts w:ascii="Times New Roman" w:hAnsi="Times New Roman" w:cs="Times New Roman"/>
          <w:sz w:val="24"/>
          <w:szCs w:val="24"/>
        </w:rPr>
        <w:t>Kai kurių dalykų (biologijos, anglų k., informacinių technologijų, fizikos, lietuvių kalbos ir literatūros ir kt.) r</w:t>
      </w:r>
      <w:r>
        <w:rPr>
          <w:rFonts w:ascii="Times New Roman" w:hAnsi="Times New Roman" w:cs="Times New Roman"/>
          <w:sz w:val="24"/>
          <w:szCs w:val="24"/>
        </w:rPr>
        <w:t xml:space="preserve">ajono abiturientų rezultatų vidurkiai didesni už </w:t>
      </w:r>
      <w:r w:rsidR="00C34B35">
        <w:rPr>
          <w:rFonts w:ascii="Times New Roman" w:hAnsi="Times New Roman" w:cs="Times New Roman"/>
          <w:sz w:val="24"/>
          <w:szCs w:val="24"/>
        </w:rPr>
        <w:t xml:space="preserve">šalies </w:t>
      </w:r>
      <w:r>
        <w:rPr>
          <w:rFonts w:ascii="Times New Roman" w:hAnsi="Times New Roman" w:cs="Times New Roman"/>
          <w:sz w:val="24"/>
          <w:szCs w:val="24"/>
        </w:rPr>
        <w:t xml:space="preserve"> brandos egzaminų įvertinimai. </w:t>
      </w:r>
    </w:p>
    <w:p w14:paraId="619C263A" w14:textId="77777777" w:rsidR="00337FA6" w:rsidRDefault="00337FA6" w:rsidP="00063FC3">
      <w:pPr>
        <w:pStyle w:val="Betarp"/>
        <w:spacing w:line="276" w:lineRule="auto"/>
        <w:jc w:val="both"/>
        <w:rPr>
          <w:rFonts w:ascii="Times New Roman" w:hAnsi="Times New Roman" w:cs="Times New Roman"/>
          <w:sz w:val="24"/>
          <w:szCs w:val="24"/>
        </w:rPr>
      </w:pPr>
    </w:p>
    <w:p w14:paraId="63996D18" w14:textId="126C5EF8" w:rsidR="00063FC3" w:rsidRPr="00AE13D2" w:rsidRDefault="00063FC3" w:rsidP="00063FC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337FA6">
        <w:rPr>
          <w:rFonts w:ascii="Times New Roman" w:hAnsi="Times New Roman" w:cs="Times New Roman"/>
          <w:sz w:val="24"/>
          <w:szCs w:val="24"/>
        </w:rPr>
        <w:t>3</w:t>
      </w:r>
      <w:r>
        <w:rPr>
          <w:rFonts w:ascii="Times New Roman" w:hAnsi="Times New Roman" w:cs="Times New Roman"/>
          <w:sz w:val="24"/>
          <w:szCs w:val="24"/>
        </w:rPr>
        <w:t xml:space="preserve"> lentelė</w:t>
      </w:r>
    </w:p>
    <w:tbl>
      <w:tblPr>
        <w:tblStyle w:val="Lentelstinklelis"/>
        <w:tblW w:w="0" w:type="auto"/>
        <w:tblLook w:val="04A0" w:firstRow="1" w:lastRow="0" w:firstColumn="1" w:lastColumn="0" w:noHBand="0" w:noVBand="1"/>
      </w:tblPr>
      <w:tblGrid>
        <w:gridCol w:w="2263"/>
        <w:gridCol w:w="1843"/>
        <w:gridCol w:w="1985"/>
        <w:gridCol w:w="1842"/>
        <w:gridCol w:w="1695"/>
      </w:tblGrid>
      <w:tr w:rsidR="0074213B" w14:paraId="10BB1F45" w14:textId="77777777" w:rsidTr="00C34B35">
        <w:trPr>
          <w:trHeight w:val="706"/>
        </w:trPr>
        <w:tc>
          <w:tcPr>
            <w:tcW w:w="2263" w:type="dxa"/>
            <w:vMerge w:val="restart"/>
            <w:shd w:val="clear" w:color="auto" w:fill="C6D9F1" w:themeFill="text2" w:themeFillTint="33"/>
          </w:tcPr>
          <w:p w14:paraId="4F54CF33" w14:textId="77777777" w:rsidR="0074213B" w:rsidRDefault="0074213B" w:rsidP="00CB50EA">
            <w:pPr>
              <w:pStyle w:val="Betarp"/>
              <w:spacing w:line="276" w:lineRule="auto"/>
              <w:rPr>
                <w:rFonts w:ascii="Times New Roman" w:hAnsi="Times New Roman" w:cs="Times New Roman"/>
                <w:sz w:val="20"/>
                <w:szCs w:val="20"/>
              </w:rPr>
            </w:pPr>
            <w:r>
              <w:rPr>
                <w:rFonts w:ascii="Times New Roman" w:hAnsi="Times New Roman" w:cs="Times New Roman"/>
                <w:sz w:val="20"/>
                <w:szCs w:val="20"/>
              </w:rPr>
              <w:t xml:space="preserve">Egzaminas </w:t>
            </w:r>
          </w:p>
        </w:tc>
        <w:tc>
          <w:tcPr>
            <w:tcW w:w="3828" w:type="dxa"/>
            <w:gridSpan w:val="2"/>
            <w:shd w:val="clear" w:color="auto" w:fill="C6D9F1" w:themeFill="text2" w:themeFillTint="33"/>
          </w:tcPr>
          <w:p w14:paraId="039DC7D9" w14:textId="77777777" w:rsidR="0074213B" w:rsidRDefault="0074213B" w:rsidP="00CB50EA">
            <w:pPr>
              <w:pStyle w:val="Betarp"/>
              <w:jc w:val="center"/>
              <w:rPr>
                <w:rFonts w:ascii="Times New Roman" w:hAnsi="Times New Roman" w:cs="Times New Roman"/>
                <w:sz w:val="20"/>
                <w:szCs w:val="20"/>
              </w:rPr>
            </w:pPr>
            <w:r w:rsidRPr="00237C77">
              <w:rPr>
                <w:rFonts w:ascii="Times New Roman" w:hAnsi="Times New Roman" w:cs="Times New Roman"/>
                <w:sz w:val="20"/>
                <w:szCs w:val="20"/>
              </w:rPr>
              <w:t>Egzaminą laikiusių abiturientų procentinė dalis</w:t>
            </w:r>
            <w:r>
              <w:rPr>
                <w:rFonts w:ascii="Times New Roman" w:hAnsi="Times New Roman" w:cs="Times New Roman"/>
                <w:sz w:val="20"/>
                <w:szCs w:val="20"/>
              </w:rPr>
              <w:t xml:space="preserve"> </w:t>
            </w:r>
            <w:r w:rsidRPr="00237C77">
              <w:rPr>
                <w:rFonts w:ascii="Times New Roman" w:hAnsi="Times New Roman" w:cs="Times New Roman"/>
                <w:sz w:val="20"/>
                <w:szCs w:val="20"/>
              </w:rPr>
              <w:t xml:space="preserve">iš bendro brandos egzaminus </w:t>
            </w:r>
            <w:r>
              <w:rPr>
                <w:rFonts w:ascii="Times New Roman" w:hAnsi="Times New Roman" w:cs="Times New Roman"/>
                <w:sz w:val="20"/>
                <w:szCs w:val="20"/>
              </w:rPr>
              <w:t>l</w:t>
            </w:r>
            <w:r w:rsidRPr="00237C77">
              <w:rPr>
                <w:rFonts w:ascii="Times New Roman" w:hAnsi="Times New Roman" w:cs="Times New Roman"/>
                <w:sz w:val="20"/>
                <w:szCs w:val="20"/>
              </w:rPr>
              <w:t>aikiusiųjų</w:t>
            </w:r>
            <w:r>
              <w:rPr>
                <w:rFonts w:ascii="Times New Roman" w:hAnsi="Times New Roman" w:cs="Times New Roman"/>
                <w:sz w:val="20"/>
                <w:szCs w:val="20"/>
              </w:rPr>
              <w:t xml:space="preserve"> </w:t>
            </w:r>
            <w:r w:rsidRPr="00237C77">
              <w:rPr>
                <w:rFonts w:ascii="Times New Roman" w:hAnsi="Times New Roman" w:cs="Times New Roman"/>
                <w:sz w:val="20"/>
                <w:szCs w:val="20"/>
              </w:rPr>
              <w:t>skaičiaus</w:t>
            </w:r>
          </w:p>
        </w:tc>
        <w:tc>
          <w:tcPr>
            <w:tcW w:w="3537" w:type="dxa"/>
            <w:gridSpan w:val="2"/>
            <w:shd w:val="clear" w:color="auto" w:fill="C6D9F1" w:themeFill="text2" w:themeFillTint="33"/>
          </w:tcPr>
          <w:p w14:paraId="57088E05" w14:textId="77777777" w:rsidR="0074213B" w:rsidRPr="0078612D" w:rsidRDefault="0074213B" w:rsidP="00CB50EA">
            <w:pPr>
              <w:pStyle w:val="Betarp"/>
              <w:rPr>
                <w:rFonts w:ascii="Times New Roman" w:hAnsi="Times New Roman" w:cs="Times New Roman"/>
                <w:sz w:val="20"/>
                <w:szCs w:val="20"/>
              </w:rPr>
            </w:pPr>
            <w:r w:rsidRPr="0078612D">
              <w:rPr>
                <w:rFonts w:ascii="Times New Roman" w:hAnsi="Times New Roman" w:cs="Times New Roman"/>
                <w:sz w:val="20"/>
                <w:szCs w:val="20"/>
              </w:rPr>
              <w:t>Egzaminą laikiusių abiturientų vidutinis</w:t>
            </w:r>
          </w:p>
          <w:p w14:paraId="7E3D4CE0" w14:textId="77777777" w:rsidR="0074213B" w:rsidRDefault="0074213B" w:rsidP="00CB50EA">
            <w:pPr>
              <w:pStyle w:val="Betarp"/>
              <w:spacing w:line="276" w:lineRule="auto"/>
              <w:jc w:val="center"/>
              <w:rPr>
                <w:rFonts w:ascii="Times New Roman" w:hAnsi="Times New Roman" w:cs="Times New Roman"/>
                <w:sz w:val="20"/>
                <w:szCs w:val="20"/>
              </w:rPr>
            </w:pPr>
            <w:r w:rsidRPr="0078612D">
              <w:rPr>
                <w:rFonts w:ascii="Times New Roman" w:hAnsi="Times New Roman" w:cs="Times New Roman"/>
                <w:sz w:val="20"/>
                <w:szCs w:val="20"/>
              </w:rPr>
              <w:t>egzamino įvertinimas</w:t>
            </w:r>
          </w:p>
        </w:tc>
      </w:tr>
      <w:tr w:rsidR="0074213B" w14:paraId="7C014EB3" w14:textId="77777777" w:rsidTr="00C34B35">
        <w:trPr>
          <w:trHeight w:val="495"/>
        </w:trPr>
        <w:tc>
          <w:tcPr>
            <w:tcW w:w="2263" w:type="dxa"/>
            <w:vMerge/>
            <w:shd w:val="clear" w:color="auto" w:fill="C6D9F1" w:themeFill="text2" w:themeFillTint="33"/>
          </w:tcPr>
          <w:p w14:paraId="75AB5123" w14:textId="77777777" w:rsidR="0074213B" w:rsidRDefault="0074213B" w:rsidP="00CB50EA">
            <w:pPr>
              <w:pStyle w:val="Betarp"/>
              <w:spacing w:line="276" w:lineRule="auto"/>
              <w:rPr>
                <w:rFonts w:ascii="Times New Roman" w:hAnsi="Times New Roman" w:cs="Times New Roman"/>
                <w:sz w:val="20"/>
                <w:szCs w:val="20"/>
              </w:rPr>
            </w:pPr>
          </w:p>
        </w:tc>
        <w:tc>
          <w:tcPr>
            <w:tcW w:w="1843" w:type="dxa"/>
            <w:shd w:val="clear" w:color="auto" w:fill="C6D9F1" w:themeFill="text2" w:themeFillTint="33"/>
          </w:tcPr>
          <w:p w14:paraId="485498F6" w14:textId="77777777" w:rsidR="0074213B" w:rsidRPr="00237C77" w:rsidRDefault="0074213B" w:rsidP="00CB50EA">
            <w:pPr>
              <w:pStyle w:val="Betarp"/>
              <w:jc w:val="center"/>
              <w:rPr>
                <w:rFonts w:ascii="Times New Roman" w:hAnsi="Times New Roman" w:cs="Times New Roman"/>
                <w:sz w:val="20"/>
                <w:szCs w:val="20"/>
              </w:rPr>
            </w:pPr>
            <w:r w:rsidRPr="00237C77">
              <w:rPr>
                <w:rFonts w:ascii="Times New Roman" w:hAnsi="Times New Roman" w:cs="Times New Roman"/>
                <w:sz w:val="20"/>
                <w:szCs w:val="20"/>
              </w:rPr>
              <w:t>Savivaldybės bendrojo</w:t>
            </w:r>
          </w:p>
          <w:p w14:paraId="707CE8E9" w14:textId="77777777" w:rsidR="0074213B" w:rsidRPr="00237C77" w:rsidRDefault="0074213B" w:rsidP="00CB50EA">
            <w:pPr>
              <w:pStyle w:val="Betarp"/>
              <w:jc w:val="center"/>
              <w:rPr>
                <w:rFonts w:ascii="Times New Roman" w:hAnsi="Times New Roman" w:cs="Times New Roman"/>
                <w:sz w:val="20"/>
                <w:szCs w:val="20"/>
              </w:rPr>
            </w:pPr>
            <w:r w:rsidRPr="00237C77">
              <w:rPr>
                <w:rFonts w:ascii="Times New Roman" w:hAnsi="Times New Roman" w:cs="Times New Roman"/>
                <w:sz w:val="20"/>
                <w:szCs w:val="20"/>
              </w:rPr>
              <w:t>ugdymo mokyklų</w:t>
            </w:r>
          </w:p>
          <w:p w14:paraId="030020CB" w14:textId="77777777" w:rsidR="0074213B" w:rsidRPr="00237C77" w:rsidRDefault="0074213B" w:rsidP="00CB50EA">
            <w:pPr>
              <w:pStyle w:val="Betarp"/>
              <w:spacing w:line="276" w:lineRule="auto"/>
              <w:jc w:val="center"/>
              <w:rPr>
                <w:rFonts w:ascii="Times New Roman" w:hAnsi="Times New Roman" w:cs="Times New Roman"/>
                <w:sz w:val="20"/>
                <w:szCs w:val="20"/>
              </w:rPr>
            </w:pPr>
            <w:r w:rsidRPr="00237C77">
              <w:rPr>
                <w:rFonts w:ascii="Times New Roman" w:hAnsi="Times New Roman" w:cs="Times New Roman"/>
                <w:sz w:val="20"/>
                <w:szCs w:val="20"/>
              </w:rPr>
              <w:t>vidurkis</w:t>
            </w:r>
          </w:p>
        </w:tc>
        <w:tc>
          <w:tcPr>
            <w:tcW w:w="1985" w:type="dxa"/>
            <w:shd w:val="clear" w:color="auto" w:fill="C6D9F1" w:themeFill="text2" w:themeFillTint="33"/>
          </w:tcPr>
          <w:p w14:paraId="36F6BFD2" w14:textId="77777777" w:rsidR="0074213B" w:rsidRPr="00237C77" w:rsidRDefault="0074213B" w:rsidP="00CB50EA">
            <w:pPr>
              <w:pStyle w:val="Betarp"/>
              <w:jc w:val="center"/>
              <w:rPr>
                <w:rFonts w:ascii="Times New Roman" w:hAnsi="Times New Roman" w:cs="Times New Roman"/>
                <w:sz w:val="20"/>
                <w:szCs w:val="20"/>
              </w:rPr>
            </w:pPr>
            <w:r w:rsidRPr="00237C77">
              <w:rPr>
                <w:rFonts w:ascii="Times New Roman" w:hAnsi="Times New Roman" w:cs="Times New Roman"/>
                <w:sz w:val="20"/>
                <w:szCs w:val="20"/>
              </w:rPr>
              <w:t>Šalies bendrojo</w:t>
            </w:r>
          </w:p>
          <w:p w14:paraId="3329BE59" w14:textId="77777777" w:rsidR="0074213B" w:rsidRPr="00237C77" w:rsidRDefault="0074213B" w:rsidP="00CB50EA">
            <w:pPr>
              <w:pStyle w:val="Betarp"/>
              <w:jc w:val="center"/>
              <w:rPr>
                <w:rFonts w:ascii="Times New Roman" w:hAnsi="Times New Roman" w:cs="Times New Roman"/>
                <w:sz w:val="20"/>
                <w:szCs w:val="20"/>
              </w:rPr>
            </w:pPr>
            <w:r w:rsidRPr="00237C77">
              <w:rPr>
                <w:rFonts w:ascii="Times New Roman" w:hAnsi="Times New Roman" w:cs="Times New Roman"/>
                <w:sz w:val="20"/>
                <w:szCs w:val="20"/>
              </w:rPr>
              <w:t>ugdymo mokyklų</w:t>
            </w:r>
          </w:p>
          <w:p w14:paraId="63782BC1" w14:textId="77777777" w:rsidR="0074213B" w:rsidRDefault="0074213B" w:rsidP="00CB50EA">
            <w:pPr>
              <w:pStyle w:val="Betarp"/>
              <w:spacing w:line="276" w:lineRule="auto"/>
              <w:jc w:val="center"/>
              <w:rPr>
                <w:rFonts w:ascii="Times New Roman" w:hAnsi="Times New Roman" w:cs="Times New Roman"/>
                <w:sz w:val="20"/>
                <w:szCs w:val="20"/>
              </w:rPr>
            </w:pPr>
            <w:r w:rsidRPr="00237C77">
              <w:rPr>
                <w:rFonts w:ascii="Times New Roman" w:hAnsi="Times New Roman" w:cs="Times New Roman"/>
                <w:sz w:val="20"/>
                <w:szCs w:val="20"/>
              </w:rPr>
              <w:t>vidurkis</w:t>
            </w:r>
          </w:p>
        </w:tc>
        <w:tc>
          <w:tcPr>
            <w:tcW w:w="1842" w:type="dxa"/>
            <w:shd w:val="clear" w:color="auto" w:fill="C6D9F1" w:themeFill="text2" w:themeFillTint="33"/>
          </w:tcPr>
          <w:p w14:paraId="143379A3" w14:textId="77777777" w:rsidR="0074213B" w:rsidRPr="0078612D" w:rsidRDefault="0074213B" w:rsidP="00CB50EA">
            <w:pPr>
              <w:pStyle w:val="Betarp"/>
              <w:jc w:val="center"/>
              <w:rPr>
                <w:rFonts w:ascii="Times New Roman" w:hAnsi="Times New Roman" w:cs="Times New Roman"/>
                <w:sz w:val="20"/>
                <w:szCs w:val="20"/>
              </w:rPr>
            </w:pPr>
            <w:r w:rsidRPr="0078612D">
              <w:rPr>
                <w:rFonts w:ascii="Times New Roman" w:hAnsi="Times New Roman" w:cs="Times New Roman"/>
                <w:sz w:val="20"/>
                <w:szCs w:val="20"/>
              </w:rPr>
              <w:t>Savivaldybės</w:t>
            </w:r>
          </w:p>
          <w:p w14:paraId="15CE129F" w14:textId="77777777" w:rsidR="0074213B" w:rsidRPr="0078612D" w:rsidRDefault="0074213B" w:rsidP="00CB50EA">
            <w:pPr>
              <w:pStyle w:val="Betarp"/>
              <w:jc w:val="center"/>
              <w:rPr>
                <w:rFonts w:ascii="Times New Roman" w:hAnsi="Times New Roman" w:cs="Times New Roman"/>
                <w:sz w:val="20"/>
                <w:szCs w:val="20"/>
              </w:rPr>
            </w:pPr>
            <w:r w:rsidRPr="0078612D">
              <w:rPr>
                <w:rFonts w:ascii="Times New Roman" w:hAnsi="Times New Roman" w:cs="Times New Roman"/>
                <w:sz w:val="20"/>
                <w:szCs w:val="20"/>
              </w:rPr>
              <w:t>bendrojo ugdymo</w:t>
            </w:r>
          </w:p>
          <w:p w14:paraId="1DAD1E47" w14:textId="77777777" w:rsidR="0074213B" w:rsidRDefault="0074213B" w:rsidP="00CB50EA">
            <w:pPr>
              <w:pStyle w:val="Betarp"/>
              <w:jc w:val="center"/>
              <w:rPr>
                <w:rFonts w:ascii="Times New Roman" w:hAnsi="Times New Roman" w:cs="Times New Roman"/>
                <w:sz w:val="20"/>
                <w:szCs w:val="20"/>
              </w:rPr>
            </w:pPr>
            <w:r w:rsidRPr="0078612D">
              <w:rPr>
                <w:rFonts w:ascii="Times New Roman" w:hAnsi="Times New Roman" w:cs="Times New Roman"/>
                <w:sz w:val="20"/>
                <w:szCs w:val="20"/>
              </w:rPr>
              <w:t>mokyklų vidurkis</w:t>
            </w:r>
          </w:p>
        </w:tc>
        <w:tc>
          <w:tcPr>
            <w:tcW w:w="1695" w:type="dxa"/>
            <w:shd w:val="clear" w:color="auto" w:fill="C6D9F1" w:themeFill="text2" w:themeFillTint="33"/>
          </w:tcPr>
          <w:p w14:paraId="156F4C55" w14:textId="77777777" w:rsidR="0074213B" w:rsidRPr="0078612D" w:rsidRDefault="0074213B" w:rsidP="00CB50EA">
            <w:pPr>
              <w:pStyle w:val="Betarp"/>
              <w:jc w:val="center"/>
              <w:rPr>
                <w:rFonts w:ascii="Times New Roman" w:hAnsi="Times New Roman" w:cs="Times New Roman"/>
                <w:sz w:val="20"/>
                <w:szCs w:val="20"/>
              </w:rPr>
            </w:pPr>
            <w:r w:rsidRPr="0078612D">
              <w:rPr>
                <w:rFonts w:ascii="Times New Roman" w:hAnsi="Times New Roman" w:cs="Times New Roman"/>
                <w:sz w:val="20"/>
                <w:szCs w:val="20"/>
              </w:rPr>
              <w:t>Šalies bendrojo</w:t>
            </w:r>
          </w:p>
          <w:p w14:paraId="69D017BE" w14:textId="77777777" w:rsidR="0074213B" w:rsidRPr="0078612D" w:rsidRDefault="0074213B" w:rsidP="00CB50EA">
            <w:pPr>
              <w:pStyle w:val="Betarp"/>
              <w:jc w:val="center"/>
              <w:rPr>
                <w:rFonts w:ascii="Times New Roman" w:hAnsi="Times New Roman" w:cs="Times New Roman"/>
                <w:sz w:val="20"/>
                <w:szCs w:val="20"/>
              </w:rPr>
            </w:pPr>
            <w:r w:rsidRPr="0078612D">
              <w:rPr>
                <w:rFonts w:ascii="Times New Roman" w:hAnsi="Times New Roman" w:cs="Times New Roman"/>
                <w:sz w:val="20"/>
                <w:szCs w:val="20"/>
              </w:rPr>
              <w:t>ugdymo mokyklų</w:t>
            </w:r>
          </w:p>
          <w:p w14:paraId="6F2BBD12" w14:textId="77777777" w:rsidR="0074213B" w:rsidRDefault="0074213B" w:rsidP="00CB50EA">
            <w:pPr>
              <w:pStyle w:val="Betarp"/>
              <w:spacing w:line="276" w:lineRule="auto"/>
              <w:jc w:val="center"/>
              <w:rPr>
                <w:rFonts w:ascii="Times New Roman" w:hAnsi="Times New Roman" w:cs="Times New Roman"/>
                <w:sz w:val="20"/>
                <w:szCs w:val="20"/>
              </w:rPr>
            </w:pPr>
            <w:r w:rsidRPr="0078612D">
              <w:rPr>
                <w:rFonts w:ascii="Times New Roman" w:hAnsi="Times New Roman" w:cs="Times New Roman"/>
                <w:sz w:val="20"/>
                <w:szCs w:val="20"/>
              </w:rPr>
              <w:t>vidurkis</w:t>
            </w:r>
          </w:p>
        </w:tc>
      </w:tr>
      <w:tr w:rsidR="0074213B" w14:paraId="1B21DD34" w14:textId="77777777" w:rsidTr="00C34B35">
        <w:tc>
          <w:tcPr>
            <w:tcW w:w="2263" w:type="dxa"/>
          </w:tcPr>
          <w:p w14:paraId="59353046"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Biologija </w:t>
            </w:r>
          </w:p>
        </w:tc>
        <w:tc>
          <w:tcPr>
            <w:tcW w:w="1843" w:type="dxa"/>
          </w:tcPr>
          <w:p w14:paraId="6889C206"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23,86 % </w:t>
            </w:r>
          </w:p>
        </w:tc>
        <w:tc>
          <w:tcPr>
            <w:tcW w:w="1985" w:type="dxa"/>
          </w:tcPr>
          <w:p w14:paraId="07E53CCB"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25,09 %</w:t>
            </w:r>
          </w:p>
        </w:tc>
        <w:tc>
          <w:tcPr>
            <w:tcW w:w="1842" w:type="dxa"/>
          </w:tcPr>
          <w:p w14:paraId="0059FEB5"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58,8</w:t>
            </w:r>
          </w:p>
        </w:tc>
        <w:tc>
          <w:tcPr>
            <w:tcW w:w="1695" w:type="dxa"/>
          </w:tcPr>
          <w:p w14:paraId="178D19C2"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50,7</w:t>
            </w:r>
          </w:p>
        </w:tc>
      </w:tr>
      <w:tr w:rsidR="0074213B" w14:paraId="2D7B01DC" w14:textId="77777777" w:rsidTr="00C34B35">
        <w:tc>
          <w:tcPr>
            <w:tcW w:w="2263" w:type="dxa"/>
          </w:tcPr>
          <w:p w14:paraId="7D2FDECC"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Užsienio k. (anglų)</w:t>
            </w:r>
          </w:p>
        </w:tc>
        <w:tc>
          <w:tcPr>
            <w:tcW w:w="1843" w:type="dxa"/>
          </w:tcPr>
          <w:p w14:paraId="30833265"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60,98 % </w:t>
            </w:r>
          </w:p>
        </w:tc>
        <w:tc>
          <w:tcPr>
            <w:tcW w:w="1985" w:type="dxa"/>
          </w:tcPr>
          <w:p w14:paraId="343110F4"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68,44 %</w:t>
            </w:r>
          </w:p>
        </w:tc>
        <w:tc>
          <w:tcPr>
            <w:tcW w:w="1842" w:type="dxa"/>
          </w:tcPr>
          <w:p w14:paraId="59642653"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65,9</w:t>
            </w:r>
          </w:p>
        </w:tc>
        <w:tc>
          <w:tcPr>
            <w:tcW w:w="1695" w:type="dxa"/>
          </w:tcPr>
          <w:p w14:paraId="721F1524"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61,1</w:t>
            </w:r>
          </w:p>
        </w:tc>
      </w:tr>
      <w:tr w:rsidR="0074213B" w14:paraId="5790DC2A" w14:textId="77777777" w:rsidTr="00C34B35">
        <w:tc>
          <w:tcPr>
            <w:tcW w:w="2263" w:type="dxa"/>
          </w:tcPr>
          <w:p w14:paraId="63033175"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Geografija </w:t>
            </w:r>
          </w:p>
        </w:tc>
        <w:tc>
          <w:tcPr>
            <w:tcW w:w="1843" w:type="dxa"/>
          </w:tcPr>
          <w:p w14:paraId="0C8D3BDC"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49,90 % </w:t>
            </w:r>
          </w:p>
        </w:tc>
        <w:tc>
          <w:tcPr>
            <w:tcW w:w="1985" w:type="dxa"/>
          </w:tcPr>
          <w:p w14:paraId="213E1F0C"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16,66 %</w:t>
            </w:r>
          </w:p>
        </w:tc>
        <w:tc>
          <w:tcPr>
            <w:tcW w:w="1842" w:type="dxa"/>
          </w:tcPr>
          <w:p w14:paraId="6739C4B5"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50,1</w:t>
            </w:r>
          </w:p>
        </w:tc>
        <w:tc>
          <w:tcPr>
            <w:tcW w:w="1695" w:type="dxa"/>
          </w:tcPr>
          <w:p w14:paraId="2E3C3A2F"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47,3</w:t>
            </w:r>
          </w:p>
        </w:tc>
      </w:tr>
      <w:tr w:rsidR="0074213B" w14:paraId="1D3B4E09" w14:textId="77777777" w:rsidTr="00C34B35">
        <w:tc>
          <w:tcPr>
            <w:tcW w:w="2263" w:type="dxa"/>
          </w:tcPr>
          <w:p w14:paraId="6B5B0ED9"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Istorija </w:t>
            </w:r>
          </w:p>
        </w:tc>
        <w:tc>
          <w:tcPr>
            <w:tcW w:w="1843" w:type="dxa"/>
          </w:tcPr>
          <w:p w14:paraId="1F5581A3"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21,64 % </w:t>
            </w:r>
          </w:p>
        </w:tc>
        <w:tc>
          <w:tcPr>
            <w:tcW w:w="1985" w:type="dxa"/>
          </w:tcPr>
          <w:p w14:paraId="2E5B05C9"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31,81 %</w:t>
            </w:r>
          </w:p>
        </w:tc>
        <w:tc>
          <w:tcPr>
            <w:tcW w:w="1842" w:type="dxa"/>
          </w:tcPr>
          <w:p w14:paraId="74F9B301"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54,2</w:t>
            </w:r>
          </w:p>
        </w:tc>
        <w:tc>
          <w:tcPr>
            <w:tcW w:w="1695" w:type="dxa"/>
          </w:tcPr>
          <w:p w14:paraId="2A55160A"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47,4</w:t>
            </w:r>
          </w:p>
        </w:tc>
      </w:tr>
      <w:tr w:rsidR="0074213B" w14:paraId="63E42361" w14:textId="77777777" w:rsidTr="00C34B35">
        <w:tc>
          <w:tcPr>
            <w:tcW w:w="2263" w:type="dxa"/>
          </w:tcPr>
          <w:p w14:paraId="072D5EED" w14:textId="215EADC3"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I</w:t>
            </w:r>
            <w:r w:rsidR="00C34B35" w:rsidRPr="00C34B35">
              <w:rPr>
                <w:rFonts w:ascii="Times New Roman" w:hAnsi="Times New Roman" w:cs="Times New Roman"/>
                <w:sz w:val="20"/>
                <w:szCs w:val="20"/>
              </w:rPr>
              <w:t>T</w:t>
            </w:r>
          </w:p>
        </w:tc>
        <w:tc>
          <w:tcPr>
            <w:tcW w:w="1843" w:type="dxa"/>
          </w:tcPr>
          <w:p w14:paraId="729F71A7"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11,81 % </w:t>
            </w:r>
          </w:p>
        </w:tc>
        <w:tc>
          <w:tcPr>
            <w:tcW w:w="1985" w:type="dxa"/>
          </w:tcPr>
          <w:p w14:paraId="69D7FF6A"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11,79 %</w:t>
            </w:r>
          </w:p>
        </w:tc>
        <w:tc>
          <w:tcPr>
            <w:tcW w:w="1842" w:type="dxa"/>
          </w:tcPr>
          <w:p w14:paraId="1E6E6724"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41,9</w:t>
            </w:r>
          </w:p>
        </w:tc>
        <w:tc>
          <w:tcPr>
            <w:tcW w:w="1695" w:type="dxa"/>
          </w:tcPr>
          <w:p w14:paraId="0C779D8F"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43,1</w:t>
            </w:r>
          </w:p>
        </w:tc>
      </w:tr>
      <w:tr w:rsidR="0074213B" w14:paraId="0808A6AC" w14:textId="77777777" w:rsidTr="00C34B35">
        <w:tc>
          <w:tcPr>
            <w:tcW w:w="2263" w:type="dxa"/>
          </w:tcPr>
          <w:p w14:paraId="422E356D" w14:textId="54D9A1A2"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Lietuvių k</w:t>
            </w:r>
            <w:r w:rsidR="00C34B35" w:rsidRPr="00C34B35">
              <w:rPr>
                <w:rFonts w:ascii="Times New Roman" w:hAnsi="Times New Roman" w:cs="Times New Roman"/>
                <w:sz w:val="20"/>
                <w:szCs w:val="20"/>
              </w:rPr>
              <w:t xml:space="preserve">. </w:t>
            </w:r>
            <w:r w:rsidRPr="00C34B35">
              <w:rPr>
                <w:rFonts w:ascii="Times New Roman" w:hAnsi="Times New Roman" w:cs="Times New Roman"/>
                <w:sz w:val="20"/>
                <w:szCs w:val="20"/>
              </w:rPr>
              <w:t xml:space="preserve">ir literatūra </w:t>
            </w:r>
          </w:p>
        </w:tc>
        <w:tc>
          <w:tcPr>
            <w:tcW w:w="1843" w:type="dxa"/>
          </w:tcPr>
          <w:p w14:paraId="01C473BD"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61,33 % </w:t>
            </w:r>
          </w:p>
        </w:tc>
        <w:tc>
          <w:tcPr>
            <w:tcW w:w="1985" w:type="dxa"/>
          </w:tcPr>
          <w:p w14:paraId="6898C4AB"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68,19 %</w:t>
            </w:r>
          </w:p>
        </w:tc>
        <w:tc>
          <w:tcPr>
            <w:tcW w:w="1842" w:type="dxa"/>
          </w:tcPr>
          <w:p w14:paraId="47BDB801"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48,9</w:t>
            </w:r>
          </w:p>
        </w:tc>
        <w:tc>
          <w:tcPr>
            <w:tcW w:w="1695" w:type="dxa"/>
          </w:tcPr>
          <w:p w14:paraId="5448CDB6"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42,4</w:t>
            </w:r>
          </w:p>
        </w:tc>
      </w:tr>
      <w:tr w:rsidR="0074213B" w14:paraId="200F6484" w14:textId="77777777" w:rsidTr="00C34B35">
        <w:tc>
          <w:tcPr>
            <w:tcW w:w="2263" w:type="dxa"/>
          </w:tcPr>
          <w:p w14:paraId="4EEEC902"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Matematika </w:t>
            </w:r>
          </w:p>
        </w:tc>
        <w:tc>
          <w:tcPr>
            <w:tcW w:w="1843" w:type="dxa"/>
          </w:tcPr>
          <w:p w14:paraId="39A2383B"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57,56 % </w:t>
            </w:r>
          </w:p>
        </w:tc>
        <w:tc>
          <w:tcPr>
            <w:tcW w:w="1985" w:type="dxa"/>
          </w:tcPr>
          <w:p w14:paraId="1F53F57E"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60,62 %</w:t>
            </w:r>
          </w:p>
        </w:tc>
        <w:tc>
          <w:tcPr>
            <w:tcW w:w="1842" w:type="dxa"/>
          </w:tcPr>
          <w:p w14:paraId="72FDB63E"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32,8</w:t>
            </w:r>
          </w:p>
        </w:tc>
        <w:tc>
          <w:tcPr>
            <w:tcW w:w="1695" w:type="dxa"/>
          </w:tcPr>
          <w:p w14:paraId="0A454FB4"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31,2</w:t>
            </w:r>
          </w:p>
        </w:tc>
      </w:tr>
      <w:tr w:rsidR="0074213B" w14:paraId="2D212249" w14:textId="77777777" w:rsidTr="00C34B35">
        <w:tc>
          <w:tcPr>
            <w:tcW w:w="2263" w:type="dxa"/>
          </w:tcPr>
          <w:p w14:paraId="098FD14E"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Fizika </w:t>
            </w:r>
          </w:p>
        </w:tc>
        <w:tc>
          <w:tcPr>
            <w:tcW w:w="1843" w:type="dxa"/>
          </w:tcPr>
          <w:p w14:paraId="6D5D5D66"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 xml:space="preserve">11,12 % </w:t>
            </w:r>
          </w:p>
        </w:tc>
        <w:tc>
          <w:tcPr>
            <w:tcW w:w="1985" w:type="dxa"/>
          </w:tcPr>
          <w:p w14:paraId="31D4F782"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11,33 %</w:t>
            </w:r>
          </w:p>
        </w:tc>
        <w:tc>
          <w:tcPr>
            <w:tcW w:w="1842" w:type="dxa"/>
          </w:tcPr>
          <w:p w14:paraId="52280DF8"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35,8</w:t>
            </w:r>
          </w:p>
        </w:tc>
        <w:tc>
          <w:tcPr>
            <w:tcW w:w="1695" w:type="dxa"/>
          </w:tcPr>
          <w:p w14:paraId="65ACB177" w14:textId="77777777" w:rsidR="0074213B" w:rsidRPr="00C34B35" w:rsidRDefault="0074213B" w:rsidP="00C34B35">
            <w:pPr>
              <w:pStyle w:val="Betarp"/>
              <w:rPr>
                <w:rFonts w:ascii="Times New Roman" w:hAnsi="Times New Roman" w:cs="Times New Roman"/>
                <w:sz w:val="20"/>
                <w:szCs w:val="20"/>
              </w:rPr>
            </w:pPr>
            <w:r w:rsidRPr="00C34B35">
              <w:rPr>
                <w:rFonts w:ascii="Times New Roman" w:hAnsi="Times New Roman" w:cs="Times New Roman"/>
                <w:sz w:val="20"/>
                <w:szCs w:val="20"/>
              </w:rPr>
              <w:t>42,7</w:t>
            </w:r>
          </w:p>
        </w:tc>
      </w:tr>
    </w:tbl>
    <w:p w14:paraId="6B2D0E41" w14:textId="77777777" w:rsidR="0074213B" w:rsidRDefault="0074213B" w:rsidP="0074213B">
      <w:pPr>
        <w:pStyle w:val="Betarp"/>
        <w:spacing w:line="276" w:lineRule="auto"/>
        <w:rPr>
          <w:rFonts w:ascii="Times New Roman" w:hAnsi="Times New Roman" w:cs="Times New Roman"/>
          <w:sz w:val="20"/>
          <w:szCs w:val="20"/>
        </w:rPr>
      </w:pPr>
    </w:p>
    <w:p w14:paraId="36D52552" w14:textId="77777777" w:rsidR="001A2E7E" w:rsidRPr="001A2E7E" w:rsidRDefault="009C2765" w:rsidP="001A2E7E">
      <w:pPr>
        <w:autoSpaceDE w:val="0"/>
        <w:autoSpaceDN w:val="0"/>
        <w:adjustRightInd w:val="0"/>
        <w:spacing w:after="0" w:line="240" w:lineRule="auto"/>
        <w:jc w:val="both"/>
        <w:rPr>
          <w:rFonts w:ascii="Times New Roman" w:hAnsi="Times New Roman" w:cs="Times New Roman"/>
          <w:sz w:val="24"/>
          <w:szCs w:val="24"/>
        </w:rPr>
      </w:pPr>
      <w:r w:rsidRPr="00325031">
        <w:rPr>
          <w:rFonts w:ascii="Times New Roman" w:hAnsi="Times New Roman" w:cs="Times New Roman"/>
          <w:sz w:val="24"/>
          <w:szCs w:val="24"/>
        </w:rPr>
        <w:t>Toliau pateikiamos diagrama, vaizduojanti a</w:t>
      </w:r>
      <w:r w:rsidR="00F465DE" w:rsidRPr="00325031">
        <w:rPr>
          <w:rFonts w:ascii="Times New Roman" w:hAnsi="Times New Roman" w:cs="Times New Roman"/>
          <w:sz w:val="24"/>
          <w:szCs w:val="24"/>
        </w:rPr>
        <w:t>pibendrintų savivaldybės mokyklų 2021 m. VBE rezultatų palyginim</w:t>
      </w:r>
      <w:r w:rsidRPr="00325031">
        <w:rPr>
          <w:rFonts w:ascii="Times New Roman" w:hAnsi="Times New Roman" w:cs="Times New Roman"/>
          <w:sz w:val="24"/>
          <w:szCs w:val="24"/>
        </w:rPr>
        <w:t>ą</w:t>
      </w:r>
      <w:r w:rsidR="00F465DE" w:rsidRPr="00325031">
        <w:rPr>
          <w:rFonts w:ascii="Times New Roman" w:hAnsi="Times New Roman" w:cs="Times New Roman"/>
          <w:sz w:val="24"/>
          <w:szCs w:val="24"/>
        </w:rPr>
        <w:t xml:space="preserve"> su šalies rezultatais, naudojant</w:t>
      </w:r>
      <w:r w:rsidRPr="00325031">
        <w:rPr>
          <w:rFonts w:ascii="Times New Roman" w:hAnsi="Times New Roman" w:cs="Times New Roman"/>
          <w:sz w:val="24"/>
          <w:szCs w:val="24"/>
        </w:rPr>
        <w:t xml:space="preserve"> </w:t>
      </w:r>
      <w:r w:rsidR="00F465DE" w:rsidRPr="00325031">
        <w:rPr>
          <w:rFonts w:ascii="Times New Roman" w:hAnsi="Times New Roman" w:cs="Times New Roman"/>
          <w:sz w:val="24"/>
          <w:szCs w:val="24"/>
        </w:rPr>
        <w:t>standartizuotus taškus</w:t>
      </w:r>
      <w:r w:rsidRPr="00325031">
        <w:rPr>
          <w:rFonts w:ascii="Times New Roman" w:hAnsi="Times New Roman" w:cs="Times New Roman"/>
          <w:sz w:val="24"/>
          <w:szCs w:val="24"/>
        </w:rPr>
        <w:t xml:space="preserve">. </w:t>
      </w:r>
      <w:r w:rsidR="001A2E7E" w:rsidRPr="001A2E7E">
        <w:rPr>
          <w:rFonts w:ascii="Times New Roman" w:hAnsi="Times New Roman" w:cs="Times New Roman"/>
          <w:sz w:val="24"/>
          <w:szCs w:val="24"/>
        </w:rPr>
        <w:t>Apibendrintas VBE balas apskaičiuojamas sudedant Savivaldybės abiturientų gautus kiekvieno dalyko VBE įvertinimus ir</w:t>
      </w:r>
    </w:p>
    <w:p w14:paraId="02BB0C66" w14:textId="29E124DC" w:rsidR="001A2E7E" w:rsidRPr="001A2E7E" w:rsidRDefault="001A2E7E" w:rsidP="001A2E7E">
      <w:pPr>
        <w:autoSpaceDE w:val="0"/>
        <w:autoSpaceDN w:val="0"/>
        <w:adjustRightInd w:val="0"/>
        <w:spacing w:after="0" w:line="240" w:lineRule="auto"/>
        <w:jc w:val="both"/>
        <w:rPr>
          <w:rFonts w:ascii="Times New Roman" w:hAnsi="Times New Roman" w:cs="Times New Roman"/>
          <w:sz w:val="24"/>
          <w:szCs w:val="24"/>
        </w:rPr>
      </w:pPr>
      <w:r w:rsidRPr="001A2E7E">
        <w:rPr>
          <w:rFonts w:ascii="Times New Roman" w:hAnsi="Times New Roman" w:cs="Times New Roman"/>
          <w:sz w:val="24"/>
          <w:szCs w:val="24"/>
        </w:rPr>
        <w:t>gauta balų suma dalijama iš abiturientų skaičiaus, po to, kiekvieno dalyko gauti dalmenys sudedami (1 dėmuo) ir</w:t>
      </w:r>
      <w:r>
        <w:rPr>
          <w:rFonts w:ascii="Times New Roman" w:hAnsi="Times New Roman" w:cs="Times New Roman"/>
          <w:sz w:val="24"/>
          <w:szCs w:val="24"/>
        </w:rPr>
        <w:t xml:space="preserve"> </w:t>
      </w:r>
      <w:r w:rsidRPr="001A2E7E">
        <w:rPr>
          <w:rFonts w:ascii="Times New Roman" w:hAnsi="Times New Roman" w:cs="Times New Roman"/>
          <w:sz w:val="24"/>
          <w:szCs w:val="24"/>
        </w:rPr>
        <w:t>pridedamas visų dalykų bendras balo vidurkis (2 dėmuo). Kuo daugiau mokinių renkasi ir laiko VBE ir geriau juos išlaiko,</w:t>
      </w:r>
      <w:r>
        <w:rPr>
          <w:rFonts w:ascii="Times New Roman" w:hAnsi="Times New Roman" w:cs="Times New Roman"/>
          <w:sz w:val="24"/>
          <w:szCs w:val="24"/>
        </w:rPr>
        <w:t xml:space="preserve"> </w:t>
      </w:r>
      <w:r w:rsidRPr="001A2E7E">
        <w:rPr>
          <w:rFonts w:ascii="Times New Roman" w:hAnsi="Times New Roman" w:cs="Times New Roman"/>
          <w:sz w:val="24"/>
          <w:szCs w:val="24"/>
        </w:rPr>
        <w:t>tuo šis apibendrintas balas būna aukštesnis.</w:t>
      </w:r>
      <w:r w:rsidRPr="001A2E7E">
        <w:t xml:space="preserve"> </w:t>
      </w:r>
      <w:r w:rsidRPr="001A2E7E">
        <w:rPr>
          <w:rFonts w:ascii="Times New Roman" w:hAnsi="Times New Roman" w:cs="Times New Roman"/>
          <w:sz w:val="24"/>
          <w:szCs w:val="24"/>
        </w:rPr>
        <w:t>Apibendrinti VBE balai, išreikšti standartizuotais taškais, parodo gimnazijų darbo kokybę</w:t>
      </w:r>
    </w:p>
    <w:p w14:paraId="348E1276" w14:textId="49D8D866" w:rsidR="00F465DE" w:rsidRPr="00325031" w:rsidRDefault="001A2E7E" w:rsidP="001A2E7E">
      <w:pPr>
        <w:autoSpaceDE w:val="0"/>
        <w:autoSpaceDN w:val="0"/>
        <w:adjustRightInd w:val="0"/>
        <w:spacing w:after="0" w:line="240" w:lineRule="auto"/>
        <w:jc w:val="both"/>
        <w:rPr>
          <w:rFonts w:ascii="Times New Roman" w:hAnsi="Times New Roman" w:cs="Times New Roman"/>
          <w:sz w:val="24"/>
          <w:szCs w:val="24"/>
        </w:rPr>
      </w:pPr>
      <w:r w:rsidRPr="001A2E7E">
        <w:rPr>
          <w:rFonts w:ascii="Times New Roman" w:hAnsi="Times New Roman" w:cs="Times New Roman"/>
          <w:sz w:val="24"/>
          <w:szCs w:val="24"/>
        </w:rPr>
        <w:t>ir efektyvumą rengiant brandos egzaminams</w:t>
      </w:r>
      <w:r>
        <w:rPr>
          <w:rFonts w:ascii="Times New Roman" w:hAnsi="Times New Roman" w:cs="Times New Roman"/>
          <w:sz w:val="24"/>
          <w:szCs w:val="24"/>
        </w:rPr>
        <w:t xml:space="preserve">. </w:t>
      </w:r>
      <w:r w:rsidRPr="001A2E7E">
        <w:rPr>
          <w:rFonts w:ascii="Times New Roman" w:hAnsi="Times New Roman" w:cs="Times New Roman"/>
          <w:sz w:val="24"/>
          <w:szCs w:val="24"/>
        </w:rPr>
        <w:t xml:space="preserve">Aukščiausi standartizuoti rodikliai yra </w:t>
      </w:r>
      <w:r w:rsidR="00AF69E3">
        <w:rPr>
          <w:rFonts w:ascii="Times New Roman" w:hAnsi="Times New Roman" w:cs="Times New Roman"/>
          <w:sz w:val="24"/>
          <w:szCs w:val="24"/>
        </w:rPr>
        <w:t>geografijos.</w:t>
      </w:r>
    </w:p>
    <w:p w14:paraId="21EA2E64" w14:textId="77777777" w:rsidR="00F465DE" w:rsidRPr="00325031" w:rsidRDefault="00F465DE" w:rsidP="00F465DE">
      <w:pPr>
        <w:autoSpaceDE w:val="0"/>
        <w:autoSpaceDN w:val="0"/>
        <w:adjustRightInd w:val="0"/>
        <w:spacing w:after="0" w:line="240" w:lineRule="auto"/>
        <w:rPr>
          <w:rFonts w:ascii="Times New Roman" w:hAnsi="Times New Roman" w:cs="Times New Roman"/>
          <w:sz w:val="24"/>
          <w:szCs w:val="24"/>
        </w:rPr>
      </w:pPr>
    </w:p>
    <w:p w14:paraId="279EF94C" w14:textId="37D44E4B" w:rsidR="00F465DE" w:rsidRDefault="00F465DE" w:rsidP="0042561D">
      <w:pPr>
        <w:pStyle w:val="Betarp"/>
        <w:spacing w:line="276" w:lineRule="auto"/>
        <w:rPr>
          <w:rFonts w:ascii="Calibri,Italic" w:hAnsi="Calibri,Italic" w:cs="Calibri,Italic"/>
          <w:i/>
          <w:iCs/>
          <w:sz w:val="20"/>
          <w:szCs w:val="20"/>
        </w:rPr>
      </w:pPr>
      <w:r w:rsidRPr="00F465DE">
        <w:rPr>
          <w:rFonts w:ascii="Calibri,Italic" w:hAnsi="Calibri,Italic" w:cs="Calibri,Italic"/>
          <w:i/>
          <w:iCs/>
          <w:noProof/>
          <w:sz w:val="20"/>
          <w:szCs w:val="20"/>
          <w:lang w:eastAsia="lt-LT"/>
        </w:rPr>
        <w:lastRenderedPageBreak/>
        <w:drawing>
          <wp:inline distT="0" distB="0" distL="0" distR="0" wp14:anchorId="7DB2530A" wp14:editId="195F1D14">
            <wp:extent cx="5349357" cy="3985146"/>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3964" cy="4010927"/>
                    </a:xfrm>
                    <a:prstGeom prst="rect">
                      <a:avLst/>
                    </a:prstGeom>
                    <a:noFill/>
                    <a:ln>
                      <a:noFill/>
                    </a:ln>
                  </pic:spPr>
                </pic:pic>
              </a:graphicData>
            </a:graphic>
          </wp:inline>
        </w:drawing>
      </w:r>
    </w:p>
    <w:p w14:paraId="49A419D9" w14:textId="77777777" w:rsidR="00F465DE" w:rsidRDefault="00F465DE" w:rsidP="0042561D">
      <w:pPr>
        <w:pStyle w:val="Betarp"/>
        <w:spacing w:line="276" w:lineRule="auto"/>
        <w:rPr>
          <w:rFonts w:ascii="Calibri,Italic" w:hAnsi="Calibri,Italic" w:cs="Calibri,Italic"/>
          <w:i/>
          <w:iCs/>
          <w:sz w:val="20"/>
          <w:szCs w:val="20"/>
        </w:rPr>
      </w:pPr>
    </w:p>
    <w:p w14:paraId="457A6EF8" w14:textId="24488614" w:rsidR="00F465DE" w:rsidRPr="00634E8D" w:rsidRDefault="00F465DE" w:rsidP="0042561D">
      <w:pPr>
        <w:pStyle w:val="Betarp"/>
        <w:spacing w:line="276" w:lineRule="auto"/>
        <w:rPr>
          <w:rFonts w:ascii="Times New Roman" w:hAnsi="Times New Roman" w:cs="Times New Roman"/>
        </w:rPr>
      </w:pPr>
      <w:r w:rsidRPr="00634E8D">
        <w:rPr>
          <w:rFonts w:ascii="Times New Roman" w:hAnsi="Times New Roman" w:cs="Times New Roman"/>
        </w:rPr>
        <w:t>Savivaldybės 2021 m. VBE balų vidurkių palyginimas su šalies rezultatais, naudojant standartizuotus taškus</w:t>
      </w:r>
      <w:r w:rsidR="00634E8D">
        <w:rPr>
          <w:rFonts w:ascii="Times New Roman" w:hAnsi="Times New Roman" w:cs="Times New Roman"/>
        </w:rPr>
        <w:t>:</w:t>
      </w:r>
    </w:p>
    <w:p w14:paraId="68B4538F" w14:textId="68F67A40" w:rsidR="00F465DE" w:rsidRPr="00AF69E3" w:rsidRDefault="00F465DE" w:rsidP="0042561D">
      <w:pPr>
        <w:pStyle w:val="Betarp"/>
        <w:spacing w:line="276" w:lineRule="auto"/>
        <w:rPr>
          <w:rFonts w:ascii="Times New Roman" w:hAnsi="Times New Roman" w:cs="Times New Roman"/>
          <w:sz w:val="24"/>
          <w:szCs w:val="24"/>
        </w:rPr>
      </w:pPr>
    </w:p>
    <w:p w14:paraId="52BCD944" w14:textId="51956CB4" w:rsidR="00F465DE" w:rsidRDefault="00F465DE" w:rsidP="0042561D">
      <w:pPr>
        <w:pStyle w:val="Betarp"/>
        <w:spacing w:line="276" w:lineRule="auto"/>
        <w:rPr>
          <w:rFonts w:ascii="Calibri,Italic" w:hAnsi="Calibri,Italic" w:cs="Calibri,Italic"/>
          <w:i/>
          <w:iCs/>
          <w:sz w:val="20"/>
          <w:szCs w:val="20"/>
        </w:rPr>
      </w:pPr>
      <w:r w:rsidRPr="00F465DE">
        <w:rPr>
          <w:rFonts w:ascii="Calibri,Italic" w:hAnsi="Calibri,Italic" w:cs="Calibri,Italic"/>
          <w:i/>
          <w:iCs/>
          <w:noProof/>
          <w:sz w:val="20"/>
          <w:szCs w:val="20"/>
          <w:lang w:eastAsia="lt-LT"/>
        </w:rPr>
        <w:drawing>
          <wp:inline distT="0" distB="0" distL="0" distR="0" wp14:anchorId="2E2BAFCF" wp14:editId="5CDFB961">
            <wp:extent cx="5274860" cy="4202581"/>
            <wp:effectExtent l="0" t="0" r="254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7526" cy="4220640"/>
                    </a:xfrm>
                    <a:prstGeom prst="rect">
                      <a:avLst/>
                    </a:prstGeom>
                    <a:noFill/>
                    <a:ln>
                      <a:noFill/>
                    </a:ln>
                  </pic:spPr>
                </pic:pic>
              </a:graphicData>
            </a:graphic>
          </wp:inline>
        </w:drawing>
      </w:r>
    </w:p>
    <w:p w14:paraId="4009EC80" w14:textId="77777777" w:rsidR="00F465DE" w:rsidRPr="00F465DE" w:rsidRDefault="00F465DE" w:rsidP="0042561D">
      <w:pPr>
        <w:pStyle w:val="Betarp"/>
        <w:spacing w:line="276" w:lineRule="auto"/>
        <w:rPr>
          <w:rFonts w:ascii="Times New Roman" w:hAnsi="Times New Roman" w:cs="Times New Roman"/>
          <w:sz w:val="20"/>
          <w:szCs w:val="20"/>
        </w:rPr>
      </w:pPr>
    </w:p>
    <w:p w14:paraId="44799C14" w14:textId="6399CCB1" w:rsidR="00D313D4" w:rsidRPr="00D313D4" w:rsidRDefault="00B942AD" w:rsidP="00634E8D">
      <w:pPr>
        <w:shd w:val="clear" w:color="auto" w:fill="FFFFFF"/>
        <w:spacing w:after="0"/>
        <w:ind w:firstLine="1296"/>
        <w:rPr>
          <w:rFonts w:ascii="Times New Roman" w:eastAsia="Times New Roman" w:hAnsi="Times New Roman" w:cs="Times New Roman"/>
          <w:bCs/>
          <w:sz w:val="24"/>
          <w:lang w:eastAsia="lt-LT"/>
        </w:rPr>
      </w:pPr>
      <w:bookmarkStart w:id="2" w:name="_Hlk93665154"/>
      <w:r>
        <w:rPr>
          <w:rFonts w:ascii="Times New Roman" w:eastAsia="Times New Roman" w:hAnsi="Times New Roman" w:cs="Times New Roman"/>
          <w:bCs/>
          <w:sz w:val="24"/>
          <w:lang w:eastAsia="lt-LT"/>
        </w:rPr>
        <w:lastRenderedPageBreak/>
        <w:t xml:space="preserve">Lyginant rajono abiturientų ugdomųjų dalykų valstybinių brandos egzaminų rezultatų vidurkius, atkreiptinas dėmesys, kad vienų dalykų (lietuvių k. ir literatūros, biologijos, istorijos, informacinių technologijų ir kt.) rezultatai gerėjo, kitų (fizikos, geografijos) – prastėjo. </w:t>
      </w:r>
      <w:r w:rsidRPr="00D313D4">
        <w:rPr>
          <w:rFonts w:ascii="Times New Roman" w:eastAsia="Times New Roman" w:hAnsi="Times New Roman" w:cs="Times New Roman"/>
          <w:bCs/>
          <w:sz w:val="24"/>
          <w:lang w:eastAsia="lt-LT"/>
        </w:rPr>
        <w:t>Rajono</w:t>
      </w:r>
      <w:r w:rsidR="00D313D4" w:rsidRPr="00D313D4">
        <w:rPr>
          <w:rFonts w:ascii="Times New Roman" w:eastAsia="Times New Roman" w:hAnsi="Times New Roman" w:cs="Times New Roman"/>
          <w:bCs/>
          <w:sz w:val="24"/>
          <w:lang w:eastAsia="lt-LT"/>
        </w:rPr>
        <w:t xml:space="preserve"> abiturientų VBE vertinimo balų vidurkių kaita parodyta </w:t>
      </w:r>
      <w:r w:rsidR="00337FA6">
        <w:rPr>
          <w:rFonts w:ascii="Times New Roman" w:eastAsia="Times New Roman" w:hAnsi="Times New Roman" w:cs="Times New Roman"/>
          <w:bCs/>
          <w:sz w:val="24"/>
          <w:lang w:eastAsia="lt-LT"/>
        </w:rPr>
        <w:t>1</w:t>
      </w:r>
      <w:r w:rsidR="00D313D4" w:rsidRPr="00D313D4">
        <w:rPr>
          <w:rFonts w:ascii="Times New Roman" w:eastAsia="Times New Roman" w:hAnsi="Times New Roman" w:cs="Times New Roman"/>
          <w:bCs/>
          <w:sz w:val="24"/>
          <w:lang w:eastAsia="lt-LT"/>
        </w:rPr>
        <w:t>4 lentelėje.</w:t>
      </w:r>
    </w:p>
    <w:p w14:paraId="08658961" w14:textId="77777777" w:rsidR="00D313D4" w:rsidRPr="00D313D4" w:rsidRDefault="00D313D4" w:rsidP="00D313D4">
      <w:pPr>
        <w:shd w:val="clear" w:color="auto" w:fill="FFFFFF"/>
        <w:spacing w:after="0"/>
        <w:ind w:firstLine="3600"/>
        <w:rPr>
          <w:rFonts w:ascii="Times New Roman" w:eastAsia="Times New Roman" w:hAnsi="Times New Roman" w:cs="Times New Roman"/>
          <w:bCs/>
          <w:sz w:val="24"/>
          <w:lang w:eastAsia="lt-LT"/>
        </w:rPr>
      </w:pPr>
    </w:p>
    <w:p w14:paraId="3A54071C" w14:textId="6B099A00" w:rsidR="00D313D4" w:rsidRPr="00D313D4" w:rsidRDefault="00337FA6" w:rsidP="00B942AD">
      <w:pPr>
        <w:shd w:val="clear" w:color="auto" w:fill="FFFFFF"/>
        <w:spacing w:after="0"/>
        <w:rPr>
          <w:rFonts w:ascii="Times New Roman" w:eastAsia="Times New Roman" w:hAnsi="Times New Roman" w:cs="Times New Roman"/>
          <w:sz w:val="24"/>
          <w:szCs w:val="24"/>
          <w:lang w:eastAsia="lt-LT"/>
        </w:rPr>
      </w:pPr>
      <w:r>
        <w:rPr>
          <w:rFonts w:ascii="Times New Roman" w:eastAsia="Times New Roman" w:hAnsi="Times New Roman" w:cs="Times New Roman"/>
          <w:bCs/>
          <w:sz w:val="24"/>
          <w:lang w:eastAsia="lt-LT"/>
        </w:rPr>
        <w:t>1</w:t>
      </w:r>
      <w:r w:rsidR="00D313D4" w:rsidRPr="00D313D4">
        <w:rPr>
          <w:rFonts w:ascii="Times New Roman" w:eastAsia="Times New Roman" w:hAnsi="Times New Roman" w:cs="Times New Roman"/>
          <w:bCs/>
          <w:sz w:val="24"/>
          <w:lang w:eastAsia="lt-LT"/>
        </w:rPr>
        <w:t>4 lentelė</w:t>
      </w:r>
    </w:p>
    <w:tbl>
      <w:tblPr>
        <w:tblW w:w="7933" w:type="dxa"/>
        <w:tblLook w:val="04A0" w:firstRow="1" w:lastRow="0" w:firstColumn="1" w:lastColumn="0" w:noHBand="0" w:noVBand="1"/>
      </w:tblPr>
      <w:tblGrid>
        <w:gridCol w:w="3539"/>
        <w:gridCol w:w="1418"/>
        <w:gridCol w:w="1559"/>
        <w:gridCol w:w="1417"/>
      </w:tblGrid>
      <w:tr w:rsidR="00B942AD" w:rsidRPr="00D313D4" w14:paraId="2336E8AC" w14:textId="77777777" w:rsidTr="004B5AC9">
        <w:trPr>
          <w:trHeight w:val="315"/>
        </w:trPr>
        <w:tc>
          <w:tcPr>
            <w:tcW w:w="3539" w:type="dxa"/>
            <w:tcBorders>
              <w:top w:val="single" w:sz="4" w:space="0" w:color="auto"/>
              <w:left w:val="single" w:sz="4" w:space="0" w:color="auto"/>
              <w:bottom w:val="single" w:sz="4" w:space="0" w:color="auto"/>
            </w:tcBorders>
            <w:shd w:val="clear" w:color="auto" w:fill="C6D9F1" w:themeFill="text2" w:themeFillTint="33"/>
          </w:tcPr>
          <w:p w14:paraId="5F8F1FCA" w14:textId="44EDDB19" w:rsidR="00B942AD" w:rsidRDefault="00B942AD"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Dalykas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A191D7" w14:textId="7B895BAE" w:rsidR="00D313D4" w:rsidRPr="00D313D4" w:rsidRDefault="00D313D4"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m. </w:t>
            </w:r>
          </w:p>
        </w:tc>
        <w:tc>
          <w:tcPr>
            <w:tcW w:w="1559" w:type="dxa"/>
            <w:tcBorders>
              <w:top w:val="single" w:sz="4" w:space="0" w:color="auto"/>
              <w:left w:val="nil"/>
              <w:bottom w:val="single" w:sz="4" w:space="0" w:color="auto"/>
              <w:right w:val="nil"/>
            </w:tcBorders>
            <w:shd w:val="clear" w:color="auto" w:fill="C6D9F1" w:themeFill="text2" w:themeFillTint="33"/>
            <w:vAlign w:val="center"/>
            <w:hideMark/>
          </w:tcPr>
          <w:p w14:paraId="0564C8B0" w14:textId="78646D9C"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20</w:t>
            </w:r>
            <w:r w:rsidRPr="00D313D4">
              <w:rPr>
                <w:rFonts w:ascii="Times New Roman" w:eastAsia="Times New Roman" w:hAnsi="Times New Roman" w:cs="Times New Roman"/>
                <w:sz w:val="24"/>
                <w:szCs w:val="24"/>
                <w:lang w:eastAsia="lt-LT"/>
              </w:rPr>
              <w:t xml:space="preserve"> m.</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73CAC7" w14:textId="5B8A9D09"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Pr="00D313D4">
              <w:rPr>
                <w:rFonts w:ascii="Times New Roman" w:eastAsia="Times New Roman" w:hAnsi="Times New Roman" w:cs="Times New Roman"/>
                <w:sz w:val="24"/>
                <w:szCs w:val="24"/>
                <w:lang w:eastAsia="lt-LT"/>
              </w:rPr>
              <w:t xml:space="preserve"> m.</w:t>
            </w:r>
          </w:p>
        </w:tc>
      </w:tr>
      <w:tr w:rsidR="00D313D4" w:rsidRPr="00D313D4" w14:paraId="3B165543" w14:textId="77777777" w:rsidTr="004B5AC9">
        <w:trPr>
          <w:trHeight w:val="287"/>
        </w:trPr>
        <w:tc>
          <w:tcPr>
            <w:tcW w:w="3539" w:type="dxa"/>
            <w:tcBorders>
              <w:top w:val="single" w:sz="4" w:space="0" w:color="auto"/>
              <w:left w:val="single" w:sz="4" w:space="0" w:color="auto"/>
              <w:bottom w:val="nil"/>
              <w:right w:val="nil"/>
            </w:tcBorders>
            <w:shd w:val="clear" w:color="000000" w:fill="FFFFFF"/>
            <w:hideMark/>
          </w:tcPr>
          <w:p w14:paraId="0C88C0B1"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Lietuvių kalba ir literatūra</w:t>
            </w:r>
          </w:p>
        </w:tc>
        <w:tc>
          <w:tcPr>
            <w:tcW w:w="1418" w:type="dxa"/>
            <w:tcBorders>
              <w:top w:val="nil"/>
              <w:left w:val="single" w:sz="4" w:space="0" w:color="auto"/>
              <w:bottom w:val="nil"/>
              <w:right w:val="single" w:sz="4" w:space="0" w:color="auto"/>
            </w:tcBorders>
            <w:shd w:val="clear" w:color="auto" w:fill="auto"/>
            <w:noWrap/>
            <w:vAlign w:val="center"/>
          </w:tcPr>
          <w:p w14:paraId="7554EE3C" w14:textId="3348FCD9"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45,4</w:t>
            </w:r>
          </w:p>
        </w:tc>
        <w:tc>
          <w:tcPr>
            <w:tcW w:w="1559" w:type="dxa"/>
            <w:tcBorders>
              <w:top w:val="nil"/>
              <w:left w:val="nil"/>
              <w:bottom w:val="nil"/>
              <w:right w:val="nil"/>
            </w:tcBorders>
            <w:shd w:val="clear" w:color="auto" w:fill="auto"/>
            <w:noWrap/>
            <w:vAlign w:val="center"/>
          </w:tcPr>
          <w:p w14:paraId="56446CE1" w14:textId="3F170A80"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42,1</w:t>
            </w:r>
          </w:p>
        </w:tc>
        <w:tc>
          <w:tcPr>
            <w:tcW w:w="1417" w:type="dxa"/>
            <w:tcBorders>
              <w:top w:val="nil"/>
              <w:left w:val="single" w:sz="4" w:space="0" w:color="auto"/>
              <w:bottom w:val="nil"/>
              <w:right w:val="single" w:sz="4" w:space="0" w:color="auto"/>
            </w:tcBorders>
            <w:shd w:val="clear" w:color="auto" w:fill="auto"/>
            <w:noWrap/>
            <w:vAlign w:val="center"/>
          </w:tcPr>
          <w:p w14:paraId="1A11E1F6" w14:textId="136B1A3C"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48,9</w:t>
            </w:r>
          </w:p>
        </w:tc>
      </w:tr>
      <w:tr w:rsidR="00D313D4" w:rsidRPr="00D313D4" w14:paraId="328885DD" w14:textId="77777777" w:rsidTr="004B5AC9">
        <w:trPr>
          <w:trHeight w:val="315"/>
        </w:trPr>
        <w:tc>
          <w:tcPr>
            <w:tcW w:w="3539" w:type="dxa"/>
            <w:tcBorders>
              <w:top w:val="single" w:sz="4" w:space="0" w:color="auto"/>
              <w:left w:val="single" w:sz="4" w:space="0" w:color="auto"/>
              <w:bottom w:val="single" w:sz="4" w:space="0" w:color="auto"/>
              <w:right w:val="nil"/>
            </w:tcBorders>
            <w:shd w:val="clear" w:color="000000" w:fill="FFFFFF"/>
            <w:vAlign w:val="center"/>
            <w:hideMark/>
          </w:tcPr>
          <w:p w14:paraId="62D1BC56"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Matematika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316A5" w14:textId="1218D9D1"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30,1</w:t>
            </w:r>
          </w:p>
        </w:tc>
        <w:tc>
          <w:tcPr>
            <w:tcW w:w="1559" w:type="dxa"/>
            <w:tcBorders>
              <w:top w:val="single" w:sz="4" w:space="0" w:color="auto"/>
              <w:left w:val="nil"/>
              <w:bottom w:val="single" w:sz="4" w:space="0" w:color="auto"/>
              <w:right w:val="nil"/>
            </w:tcBorders>
            <w:shd w:val="clear" w:color="auto" w:fill="auto"/>
            <w:noWrap/>
            <w:vAlign w:val="center"/>
          </w:tcPr>
          <w:p w14:paraId="79F884E4" w14:textId="71FAB1E7"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F0D92" w14:textId="215C8478"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32,8</w:t>
            </w:r>
          </w:p>
        </w:tc>
      </w:tr>
      <w:tr w:rsidR="00D313D4" w:rsidRPr="00D313D4" w14:paraId="1E9531DB" w14:textId="77777777" w:rsidTr="004B5AC9">
        <w:trPr>
          <w:trHeight w:val="315"/>
        </w:trPr>
        <w:tc>
          <w:tcPr>
            <w:tcW w:w="3539" w:type="dxa"/>
            <w:tcBorders>
              <w:top w:val="nil"/>
              <w:left w:val="single" w:sz="4" w:space="0" w:color="auto"/>
              <w:bottom w:val="single" w:sz="4" w:space="0" w:color="auto"/>
              <w:right w:val="nil"/>
            </w:tcBorders>
            <w:shd w:val="clear" w:color="000000" w:fill="FFFFFF"/>
            <w:vAlign w:val="center"/>
            <w:hideMark/>
          </w:tcPr>
          <w:p w14:paraId="3A84315F"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Anglų kalba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C66EB4A" w14:textId="5E68D741"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37,9</w:t>
            </w:r>
          </w:p>
        </w:tc>
        <w:tc>
          <w:tcPr>
            <w:tcW w:w="1559" w:type="dxa"/>
            <w:tcBorders>
              <w:top w:val="nil"/>
              <w:left w:val="nil"/>
              <w:bottom w:val="single" w:sz="4" w:space="0" w:color="auto"/>
              <w:right w:val="nil"/>
            </w:tcBorders>
            <w:shd w:val="clear" w:color="auto" w:fill="auto"/>
            <w:noWrap/>
            <w:vAlign w:val="center"/>
          </w:tcPr>
          <w:p w14:paraId="135D77A9" w14:textId="3987F037"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68,0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3C458F4" w14:textId="69981FD6"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65,9</w:t>
            </w:r>
          </w:p>
        </w:tc>
      </w:tr>
      <w:tr w:rsidR="00D313D4" w:rsidRPr="00D313D4" w14:paraId="0157B678" w14:textId="77777777" w:rsidTr="004B5AC9">
        <w:trPr>
          <w:trHeight w:val="315"/>
        </w:trPr>
        <w:tc>
          <w:tcPr>
            <w:tcW w:w="3539" w:type="dxa"/>
            <w:tcBorders>
              <w:top w:val="nil"/>
              <w:left w:val="single" w:sz="4" w:space="0" w:color="auto"/>
              <w:bottom w:val="nil"/>
              <w:right w:val="nil"/>
            </w:tcBorders>
            <w:shd w:val="clear" w:color="000000" w:fill="FFFFFF"/>
            <w:vAlign w:val="center"/>
            <w:hideMark/>
          </w:tcPr>
          <w:p w14:paraId="5CA64E49"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Istorija</w:t>
            </w:r>
          </w:p>
        </w:tc>
        <w:tc>
          <w:tcPr>
            <w:tcW w:w="1418" w:type="dxa"/>
            <w:tcBorders>
              <w:top w:val="nil"/>
              <w:left w:val="single" w:sz="4" w:space="0" w:color="auto"/>
              <w:bottom w:val="nil"/>
              <w:right w:val="single" w:sz="4" w:space="0" w:color="auto"/>
            </w:tcBorders>
            <w:shd w:val="clear" w:color="auto" w:fill="auto"/>
            <w:noWrap/>
            <w:vAlign w:val="center"/>
          </w:tcPr>
          <w:p w14:paraId="73163B68" w14:textId="7716B885"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44,9</w:t>
            </w:r>
          </w:p>
        </w:tc>
        <w:tc>
          <w:tcPr>
            <w:tcW w:w="1559" w:type="dxa"/>
            <w:tcBorders>
              <w:top w:val="nil"/>
              <w:left w:val="nil"/>
              <w:bottom w:val="nil"/>
              <w:right w:val="nil"/>
            </w:tcBorders>
            <w:shd w:val="clear" w:color="auto" w:fill="auto"/>
            <w:noWrap/>
            <w:vAlign w:val="center"/>
          </w:tcPr>
          <w:p w14:paraId="36F1EC68" w14:textId="2F174D37"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50,2</w:t>
            </w:r>
          </w:p>
        </w:tc>
        <w:tc>
          <w:tcPr>
            <w:tcW w:w="1417" w:type="dxa"/>
            <w:tcBorders>
              <w:top w:val="nil"/>
              <w:left w:val="single" w:sz="4" w:space="0" w:color="auto"/>
              <w:bottom w:val="nil"/>
              <w:right w:val="single" w:sz="4" w:space="0" w:color="auto"/>
            </w:tcBorders>
            <w:shd w:val="clear" w:color="auto" w:fill="auto"/>
            <w:noWrap/>
            <w:vAlign w:val="center"/>
          </w:tcPr>
          <w:p w14:paraId="7A0733B6" w14:textId="578AFABE"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54,2</w:t>
            </w:r>
          </w:p>
        </w:tc>
      </w:tr>
      <w:tr w:rsidR="00D313D4" w:rsidRPr="00D313D4" w14:paraId="60CDB872" w14:textId="77777777" w:rsidTr="004B5AC9">
        <w:trPr>
          <w:trHeight w:val="315"/>
        </w:trPr>
        <w:tc>
          <w:tcPr>
            <w:tcW w:w="3539" w:type="dxa"/>
            <w:tcBorders>
              <w:top w:val="single" w:sz="4" w:space="0" w:color="auto"/>
              <w:left w:val="single" w:sz="4" w:space="0" w:color="auto"/>
              <w:bottom w:val="single" w:sz="4" w:space="0" w:color="auto"/>
              <w:right w:val="nil"/>
            </w:tcBorders>
            <w:shd w:val="clear" w:color="000000" w:fill="FFFFFF"/>
            <w:vAlign w:val="center"/>
            <w:hideMark/>
          </w:tcPr>
          <w:p w14:paraId="1CFFDC0F"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Fizika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E359" w14:textId="3DB1B356"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43,0</w:t>
            </w:r>
          </w:p>
        </w:tc>
        <w:tc>
          <w:tcPr>
            <w:tcW w:w="1559" w:type="dxa"/>
            <w:tcBorders>
              <w:top w:val="single" w:sz="4" w:space="0" w:color="auto"/>
              <w:left w:val="nil"/>
              <w:bottom w:val="single" w:sz="4" w:space="0" w:color="auto"/>
              <w:right w:val="nil"/>
            </w:tcBorders>
            <w:shd w:val="clear" w:color="auto" w:fill="auto"/>
            <w:noWrap/>
            <w:vAlign w:val="center"/>
          </w:tcPr>
          <w:p w14:paraId="76839FA3" w14:textId="2BFA0BA7"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60,1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031A8" w14:textId="7944001F"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35,8</w:t>
            </w:r>
          </w:p>
        </w:tc>
      </w:tr>
      <w:tr w:rsidR="00D313D4" w:rsidRPr="00D313D4" w14:paraId="41DF36B2" w14:textId="77777777" w:rsidTr="004B5AC9">
        <w:trPr>
          <w:trHeight w:val="315"/>
        </w:trPr>
        <w:tc>
          <w:tcPr>
            <w:tcW w:w="3539" w:type="dxa"/>
            <w:tcBorders>
              <w:top w:val="nil"/>
              <w:left w:val="single" w:sz="4" w:space="0" w:color="auto"/>
              <w:bottom w:val="nil"/>
              <w:right w:val="nil"/>
            </w:tcBorders>
            <w:shd w:val="clear" w:color="000000" w:fill="FFFFFF"/>
            <w:vAlign w:val="center"/>
            <w:hideMark/>
          </w:tcPr>
          <w:p w14:paraId="4F29D304"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Chemija</w:t>
            </w:r>
          </w:p>
        </w:tc>
        <w:tc>
          <w:tcPr>
            <w:tcW w:w="1418" w:type="dxa"/>
            <w:tcBorders>
              <w:top w:val="nil"/>
              <w:left w:val="single" w:sz="4" w:space="0" w:color="auto"/>
              <w:bottom w:val="nil"/>
              <w:right w:val="single" w:sz="4" w:space="0" w:color="auto"/>
            </w:tcBorders>
            <w:shd w:val="clear" w:color="auto" w:fill="auto"/>
            <w:noWrap/>
            <w:vAlign w:val="center"/>
          </w:tcPr>
          <w:p w14:paraId="129125FC" w14:textId="6539CF2B"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52,6</w:t>
            </w:r>
          </w:p>
        </w:tc>
        <w:tc>
          <w:tcPr>
            <w:tcW w:w="1559" w:type="dxa"/>
            <w:tcBorders>
              <w:top w:val="nil"/>
              <w:left w:val="nil"/>
              <w:bottom w:val="nil"/>
              <w:right w:val="nil"/>
            </w:tcBorders>
            <w:shd w:val="clear" w:color="auto" w:fill="auto"/>
            <w:noWrap/>
            <w:vAlign w:val="center"/>
          </w:tcPr>
          <w:p w14:paraId="656AECBE" w14:textId="329DC2E3"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54,3</w:t>
            </w:r>
          </w:p>
        </w:tc>
        <w:tc>
          <w:tcPr>
            <w:tcW w:w="1417" w:type="dxa"/>
            <w:tcBorders>
              <w:top w:val="nil"/>
              <w:left w:val="single" w:sz="4" w:space="0" w:color="auto"/>
              <w:bottom w:val="nil"/>
              <w:right w:val="single" w:sz="4" w:space="0" w:color="auto"/>
            </w:tcBorders>
            <w:shd w:val="clear" w:color="auto" w:fill="auto"/>
            <w:noWrap/>
            <w:vAlign w:val="center"/>
          </w:tcPr>
          <w:p w14:paraId="520917B4" w14:textId="7FEDD8C0"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D313D4" w:rsidRPr="00D313D4" w14:paraId="1B2A9E0E" w14:textId="77777777" w:rsidTr="004B5AC9">
        <w:trPr>
          <w:trHeight w:val="277"/>
        </w:trPr>
        <w:tc>
          <w:tcPr>
            <w:tcW w:w="3539" w:type="dxa"/>
            <w:tcBorders>
              <w:top w:val="single" w:sz="4" w:space="0" w:color="auto"/>
              <w:left w:val="single" w:sz="4" w:space="0" w:color="auto"/>
              <w:bottom w:val="single" w:sz="4" w:space="0" w:color="auto"/>
              <w:right w:val="nil"/>
            </w:tcBorders>
            <w:shd w:val="clear" w:color="000000" w:fill="FFFFFF"/>
            <w:vAlign w:val="center"/>
            <w:hideMark/>
          </w:tcPr>
          <w:p w14:paraId="2B42307E"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Informacinės technologijos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25D8" w14:textId="75CD9828"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53,9</w:t>
            </w:r>
          </w:p>
        </w:tc>
        <w:tc>
          <w:tcPr>
            <w:tcW w:w="1559" w:type="dxa"/>
            <w:tcBorders>
              <w:top w:val="single" w:sz="4" w:space="0" w:color="auto"/>
              <w:left w:val="nil"/>
              <w:bottom w:val="single" w:sz="4" w:space="0" w:color="auto"/>
              <w:right w:val="nil"/>
            </w:tcBorders>
            <w:shd w:val="clear" w:color="auto" w:fill="auto"/>
            <w:noWrap/>
            <w:vAlign w:val="center"/>
          </w:tcPr>
          <w:p w14:paraId="4EF7A1AA" w14:textId="694A414C"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32,0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1DA91" w14:textId="75D82419"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41,9</w:t>
            </w:r>
          </w:p>
        </w:tc>
      </w:tr>
      <w:tr w:rsidR="00D313D4" w:rsidRPr="00D313D4" w14:paraId="27C18BBB" w14:textId="77777777" w:rsidTr="004B5AC9">
        <w:trPr>
          <w:trHeight w:val="315"/>
        </w:trPr>
        <w:tc>
          <w:tcPr>
            <w:tcW w:w="3539" w:type="dxa"/>
            <w:tcBorders>
              <w:top w:val="nil"/>
              <w:left w:val="single" w:sz="4" w:space="0" w:color="auto"/>
              <w:bottom w:val="nil"/>
              <w:right w:val="nil"/>
            </w:tcBorders>
            <w:shd w:val="clear" w:color="000000" w:fill="FFFFFF"/>
            <w:vAlign w:val="center"/>
            <w:hideMark/>
          </w:tcPr>
          <w:p w14:paraId="4CFE4D76"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Geografija</w:t>
            </w:r>
          </w:p>
        </w:tc>
        <w:tc>
          <w:tcPr>
            <w:tcW w:w="1418" w:type="dxa"/>
            <w:tcBorders>
              <w:top w:val="nil"/>
              <w:left w:val="single" w:sz="4" w:space="0" w:color="auto"/>
              <w:bottom w:val="nil"/>
              <w:right w:val="single" w:sz="4" w:space="0" w:color="auto"/>
            </w:tcBorders>
            <w:shd w:val="clear" w:color="auto" w:fill="auto"/>
            <w:noWrap/>
            <w:vAlign w:val="center"/>
          </w:tcPr>
          <w:p w14:paraId="52EE818E" w14:textId="6B533A2E"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40,1</w:t>
            </w:r>
          </w:p>
        </w:tc>
        <w:tc>
          <w:tcPr>
            <w:tcW w:w="1559" w:type="dxa"/>
            <w:tcBorders>
              <w:top w:val="nil"/>
              <w:left w:val="nil"/>
              <w:bottom w:val="nil"/>
              <w:right w:val="nil"/>
            </w:tcBorders>
            <w:shd w:val="clear" w:color="auto" w:fill="auto"/>
            <w:noWrap/>
            <w:vAlign w:val="center"/>
          </w:tcPr>
          <w:p w14:paraId="22ED0EB0" w14:textId="60B801B6"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60,1</w:t>
            </w:r>
          </w:p>
        </w:tc>
        <w:tc>
          <w:tcPr>
            <w:tcW w:w="1417" w:type="dxa"/>
            <w:tcBorders>
              <w:top w:val="nil"/>
              <w:left w:val="single" w:sz="4" w:space="0" w:color="auto"/>
              <w:bottom w:val="nil"/>
              <w:right w:val="single" w:sz="4" w:space="0" w:color="auto"/>
            </w:tcBorders>
            <w:shd w:val="clear" w:color="auto" w:fill="auto"/>
            <w:noWrap/>
            <w:vAlign w:val="center"/>
          </w:tcPr>
          <w:p w14:paraId="7B593134" w14:textId="45D584E1"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50,1</w:t>
            </w:r>
          </w:p>
        </w:tc>
      </w:tr>
      <w:tr w:rsidR="00D313D4" w:rsidRPr="00D313D4" w14:paraId="32EFF266" w14:textId="77777777" w:rsidTr="004B5AC9">
        <w:trPr>
          <w:trHeight w:val="315"/>
        </w:trPr>
        <w:tc>
          <w:tcPr>
            <w:tcW w:w="3539" w:type="dxa"/>
            <w:tcBorders>
              <w:top w:val="single" w:sz="4" w:space="0" w:color="auto"/>
              <w:left w:val="single" w:sz="4" w:space="0" w:color="auto"/>
              <w:bottom w:val="single" w:sz="4" w:space="0" w:color="auto"/>
              <w:right w:val="nil"/>
            </w:tcBorders>
            <w:shd w:val="clear" w:color="000000" w:fill="FFFFFF"/>
            <w:vAlign w:val="center"/>
            <w:hideMark/>
          </w:tcPr>
          <w:p w14:paraId="471A57E1"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Biologija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2F80" w14:textId="72EBD618"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43,9</w:t>
            </w:r>
          </w:p>
        </w:tc>
        <w:tc>
          <w:tcPr>
            <w:tcW w:w="1559" w:type="dxa"/>
            <w:tcBorders>
              <w:top w:val="single" w:sz="4" w:space="0" w:color="auto"/>
              <w:left w:val="nil"/>
              <w:bottom w:val="single" w:sz="4" w:space="0" w:color="auto"/>
              <w:right w:val="nil"/>
            </w:tcBorders>
            <w:shd w:val="clear" w:color="auto" w:fill="auto"/>
            <w:noWrap/>
            <w:vAlign w:val="center"/>
          </w:tcPr>
          <w:p w14:paraId="13ED1666" w14:textId="0E267BB0"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50,5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F2D1" w14:textId="59654AF9"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58,8</w:t>
            </w:r>
          </w:p>
        </w:tc>
      </w:tr>
      <w:tr w:rsidR="00D313D4" w:rsidRPr="00D313D4" w14:paraId="6848AFB1" w14:textId="77777777" w:rsidTr="004B5AC9">
        <w:trPr>
          <w:trHeight w:val="315"/>
        </w:trPr>
        <w:tc>
          <w:tcPr>
            <w:tcW w:w="3539" w:type="dxa"/>
            <w:tcBorders>
              <w:top w:val="nil"/>
              <w:left w:val="single" w:sz="4" w:space="0" w:color="auto"/>
              <w:bottom w:val="nil"/>
              <w:right w:val="nil"/>
            </w:tcBorders>
            <w:shd w:val="clear" w:color="000000" w:fill="FFFFFF"/>
            <w:vAlign w:val="center"/>
            <w:hideMark/>
          </w:tcPr>
          <w:p w14:paraId="3A330EEB"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Rusų k.</w:t>
            </w:r>
          </w:p>
        </w:tc>
        <w:tc>
          <w:tcPr>
            <w:tcW w:w="1418" w:type="dxa"/>
            <w:tcBorders>
              <w:top w:val="nil"/>
              <w:left w:val="single" w:sz="4" w:space="0" w:color="auto"/>
              <w:bottom w:val="nil"/>
              <w:right w:val="single" w:sz="4" w:space="0" w:color="auto"/>
            </w:tcBorders>
            <w:shd w:val="clear" w:color="auto" w:fill="auto"/>
            <w:noWrap/>
            <w:vAlign w:val="center"/>
          </w:tcPr>
          <w:p w14:paraId="53D01B5F" w14:textId="5C813966"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60,5</w:t>
            </w:r>
          </w:p>
        </w:tc>
        <w:tc>
          <w:tcPr>
            <w:tcW w:w="1559" w:type="dxa"/>
            <w:tcBorders>
              <w:top w:val="nil"/>
              <w:left w:val="nil"/>
              <w:bottom w:val="nil"/>
              <w:right w:val="nil"/>
            </w:tcBorders>
            <w:shd w:val="clear" w:color="auto" w:fill="auto"/>
            <w:noWrap/>
            <w:vAlign w:val="center"/>
          </w:tcPr>
          <w:p w14:paraId="71B6E8B8" w14:textId="7563B6DF"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60,5</w:t>
            </w:r>
          </w:p>
        </w:tc>
        <w:tc>
          <w:tcPr>
            <w:tcW w:w="1417" w:type="dxa"/>
            <w:tcBorders>
              <w:top w:val="nil"/>
              <w:left w:val="single" w:sz="4" w:space="0" w:color="auto"/>
              <w:bottom w:val="nil"/>
              <w:right w:val="single" w:sz="4" w:space="0" w:color="auto"/>
            </w:tcBorders>
            <w:shd w:val="clear" w:color="auto" w:fill="auto"/>
            <w:noWrap/>
            <w:vAlign w:val="center"/>
          </w:tcPr>
          <w:p w14:paraId="110AD98D" w14:textId="1DFA221A"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D313D4" w:rsidRPr="00D313D4" w14:paraId="2FDF6C50" w14:textId="77777777" w:rsidTr="004B5AC9">
        <w:trPr>
          <w:trHeight w:val="315"/>
        </w:trPr>
        <w:tc>
          <w:tcPr>
            <w:tcW w:w="3539" w:type="dxa"/>
            <w:tcBorders>
              <w:top w:val="single" w:sz="4" w:space="0" w:color="auto"/>
              <w:left w:val="single" w:sz="4" w:space="0" w:color="auto"/>
              <w:bottom w:val="single" w:sz="4" w:space="0" w:color="auto"/>
              <w:right w:val="nil"/>
            </w:tcBorders>
            <w:shd w:val="clear" w:color="000000" w:fill="FFFFFF"/>
            <w:vAlign w:val="center"/>
            <w:hideMark/>
          </w:tcPr>
          <w:p w14:paraId="4788FF5A" w14:textId="77777777" w:rsidR="00D313D4" w:rsidRPr="00D313D4" w:rsidRDefault="00D313D4" w:rsidP="00D313D4">
            <w:pPr>
              <w:spacing w:after="0"/>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Bendras Joniškio 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908AB" w14:textId="6483E06F"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45,2</w:t>
            </w:r>
          </w:p>
        </w:tc>
        <w:tc>
          <w:tcPr>
            <w:tcW w:w="1559" w:type="dxa"/>
            <w:tcBorders>
              <w:top w:val="single" w:sz="4" w:space="0" w:color="auto"/>
              <w:left w:val="nil"/>
              <w:bottom w:val="single" w:sz="4" w:space="0" w:color="auto"/>
              <w:right w:val="nil"/>
            </w:tcBorders>
            <w:shd w:val="clear" w:color="auto" w:fill="auto"/>
            <w:noWrap/>
            <w:vAlign w:val="center"/>
          </w:tcPr>
          <w:p w14:paraId="6E8E7451" w14:textId="0D6B8219" w:rsidR="00D313D4" w:rsidRPr="00D313D4" w:rsidRDefault="00D313D4" w:rsidP="00D313D4">
            <w:pPr>
              <w:spacing w:after="0"/>
              <w:jc w:val="center"/>
              <w:rPr>
                <w:rFonts w:ascii="Times New Roman" w:eastAsia="Times New Roman" w:hAnsi="Times New Roman" w:cs="Times New Roman"/>
                <w:sz w:val="24"/>
                <w:szCs w:val="24"/>
                <w:lang w:eastAsia="lt-LT"/>
              </w:rPr>
            </w:pPr>
            <w:r w:rsidRPr="00D313D4">
              <w:rPr>
                <w:rFonts w:ascii="Times New Roman" w:eastAsia="Times New Roman" w:hAnsi="Times New Roman" w:cs="Times New Roman"/>
                <w:sz w:val="24"/>
                <w:szCs w:val="24"/>
                <w:lang w:eastAsia="lt-LT"/>
              </w:rPr>
              <w:t>50,2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12C5A" w14:textId="32CA1503" w:rsidR="00D313D4" w:rsidRPr="00D313D4" w:rsidRDefault="00C87377" w:rsidP="00D313D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48,55</w:t>
            </w:r>
          </w:p>
        </w:tc>
      </w:tr>
      <w:bookmarkEnd w:id="2"/>
    </w:tbl>
    <w:p w14:paraId="04A153C8" w14:textId="77777777" w:rsidR="00D313D4" w:rsidRDefault="00D313D4" w:rsidP="0042561D">
      <w:pPr>
        <w:pStyle w:val="Betarp"/>
        <w:spacing w:line="276" w:lineRule="auto"/>
        <w:rPr>
          <w:rFonts w:ascii="Times New Roman" w:hAnsi="Times New Roman" w:cs="Times New Roman"/>
          <w:b/>
          <w:sz w:val="24"/>
          <w:szCs w:val="24"/>
        </w:rPr>
      </w:pPr>
    </w:p>
    <w:p w14:paraId="0370988B" w14:textId="49EC2E27" w:rsidR="00382409" w:rsidRDefault="00382409" w:rsidP="00382409">
      <w:pPr>
        <w:pStyle w:val="Betarp"/>
        <w:rPr>
          <w:rFonts w:ascii="Times New Roman" w:hAnsi="Times New Roman" w:cs="Times New Roman"/>
          <w:sz w:val="24"/>
          <w:szCs w:val="24"/>
        </w:rPr>
      </w:pPr>
      <w:r w:rsidRPr="00382409">
        <w:rPr>
          <w:rFonts w:ascii="Times New Roman" w:hAnsi="Times New Roman" w:cs="Times New Roman"/>
          <w:b/>
          <w:bCs/>
          <w:sz w:val="24"/>
          <w:szCs w:val="24"/>
        </w:rPr>
        <w:t>Išvada:</w:t>
      </w:r>
      <w:r>
        <w:rPr>
          <w:rFonts w:ascii="Times New Roman" w:hAnsi="Times New Roman" w:cs="Times New Roman"/>
          <w:sz w:val="24"/>
          <w:szCs w:val="24"/>
        </w:rPr>
        <w:t xml:space="preserve"> s</w:t>
      </w:r>
      <w:r w:rsidRPr="00382409">
        <w:rPr>
          <w:rFonts w:ascii="Times New Roman" w:hAnsi="Times New Roman" w:cs="Times New Roman"/>
          <w:sz w:val="24"/>
          <w:szCs w:val="24"/>
        </w:rPr>
        <w:t xml:space="preserve">iekiant </w:t>
      </w:r>
      <w:r>
        <w:rPr>
          <w:rFonts w:ascii="Times New Roman" w:hAnsi="Times New Roman" w:cs="Times New Roman"/>
          <w:sz w:val="24"/>
          <w:szCs w:val="24"/>
        </w:rPr>
        <w:t xml:space="preserve">įgyvendinti </w:t>
      </w:r>
      <w:r w:rsidRPr="00382409">
        <w:rPr>
          <w:rFonts w:ascii="Times New Roman" w:hAnsi="Times New Roman" w:cs="Times New Roman"/>
          <w:sz w:val="24"/>
          <w:szCs w:val="24"/>
        </w:rPr>
        <w:t>švietimo prioritet</w:t>
      </w:r>
      <w:r>
        <w:rPr>
          <w:rFonts w:ascii="Times New Roman" w:hAnsi="Times New Roman" w:cs="Times New Roman"/>
          <w:sz w:val="24"/>
          <w:szCs w:val="24"/>
        </w:rPr>
        <w:t>us,</w:t>
      </w:r>
      <w:r w:rsidRPr="00382409">
        <w:rPr>
          <w:rFonts w:ascii="Times New Roman" w:hAnsi="Times New Roman" w:cs="Times New Roman"/>
          <w:sz w:val="24"/>
          <w:szCs w:val="24"/>
        </w:rPr>
        <w:t xml:space="preserve"> siekti geresnių švietimo rezultatų, gerinti ugdymo</w:t>
      </w:r>
      <w:r>
        <w:rPr>
          <w:rFonts w:ascii="Times New Roman" w:hAnsi="Times New Roman" w:cs="Times New Roman"/>
          <w:sz w:val="24"/>
          <w:szCs w:val="24"/>
        </w:rPr>
        <w:t xml:space="preserve"> </w:t>
      </w:r>
      <w:r w:rsidRPr="00382409">
        <w:rPr>
          <w:rFonts w:ascii="Times New Roman" w:hAnsi="Times New Roman" w:cs="Times New Roman"/>
          <w:sz w:val="24"/>
          <w:szCs w:val="24"/>
        </w:rPr>
        <w:t>kokybę, užtikrin</w:t>
      </w:r>
      <w:r>
        <w:rPr>
          <w:rFonts w:ascii="Times New Roman" w:hAnsi="Times New Roman" w:cs="Times New Roman"/>
          <w:sz w:val="24"/>
          <w:szCs w:val="24"/>
        </w:rPr>
        <w:t xml:space="preserve">ti švietimo pagalbos prieinamumą, </w:t>
      </w:r>
      <w:r w:rsidRPr="00382409">
        <w:rPr>
          <w:rFonts w:ascii="Times New Roman" w:hAnsi="Times New Roman" w:cs="Times New Roman"/>
          <w:sz w:val="24"/>
          <w:szCs w:val="24"/>
        </w:rPr>
        <w:t>veiksmingą ir kokybišką švietimo įstaigų veiklą</w:t>
      </w:r>
      <w:r>
        <w:rPr>
          <w:rFonts w:ascii="Times New Roman" w:hAnsi="Times New Roman" w:cs="Times New Roman"/>
          <w:sz w:val="24"/>
          <w:szCs w:val="24"/>
        </w:rPr>
        <w:t xml:space="preserve">. </w:t>
      </w:r>
    </w:p>
    <w:p w14:paraId="19C8A31D" w14:textId="77777777" w:rsidR="00382409" w:rsidRDefault="00382409" w:rsidP="00382409">
      <w:pPr>
        <w:pStyle w:val="Betarp"/>
      </w:pPr>
    </w:p>
    <w:p w14:paraId="236A4D92" w14:textId="163B7E7F" w:rsidR="006601C3" w:rsidRPr="00EB578B" w:rsidRDefault="006601C3" w:rsidP="004B5AC9">
      <w:pPr>
        <w:jc w:val="center"/>
        <w:rPr>
          <w:rFonts w:ascii="Times New Roman" w:hAnsi="Times New Roman" w:cs="Times New Roman"/>
          <w:b/>
          <w:sz w:val="24"/>
          <w:szCs w:val="24"/>
        </w:rPr>
      </w:pPr>
      <w:r>
        <w:t>____________________________________</w:t>
      </w:r>
    </w:p>
    <w:sectPr w:rsidR="006601C3" w:rsidRPr="00EB578B" w:rsidSect="00D3323A">
      <w:pgSz w:w="11906" w:h="16838"/>
      <w:pgMar w:top="156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E535" w14:textId="77777777" w:rsidR="00163FB4" w:rsidRDefault="00163FB4" w:rsidP="00734D71">
      <w:pPr>
        <w:spacing w:after="0" w:line="240" w:lineRule="auto"/>
      </w:pPr>
      <w:r>
        <w:separator/>
      </w:r>
    </w:p>
  </w:endnote>
  <w:endnote w:type="continuationSeparator" w:id="0">
    <w:p w14:paraId="092A90D5" w14:textId="77777777" w:rsidR="00163FB4" w:rsidRDefault="00163FB4" w:rsidP="0073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Italic">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6B0A" w14:textId="77777777" w:rsidR="00163FB4" w:rsidRDefault="00163FB4" w:rsidP="00734D71">
      <w:pPr>
        <w:spacing w:after="0" w:line="240" w:lineRule="auto"/>
      </w:pPr>
      <w:r>
        <w:separator/>
      </w:r>
    </w:p>
  </w:footnote>
  <w:footnote w:type="continuationSeparator" w:id="0">
    <w:p w14:paraId="470F85A0" w14:textId="77777777" w:rsidR="00163FB4" w:rsidRDefault="00163FB4" w:rsidP="0073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9B9"/>
    <w:multiLevelType w:val="hybridMultilevel"/>
    <w:tmpl w:val="6C069422"/>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D74ABD"/>
    <w:multiLevelType w:val="hybridMultilevel"/>
    <w:tmpl w:val="EF0E69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D65157"/>
    <w:multiLevelType w:val="hybridMultilevel"/>
    <w:tmpl w:val="32B0003C"/>
    <w:lvl w:ilvl="0" w:tplc="488A4FC8">
      <w:start w:val="5"/>
      <w:numFmt w:val="bullet"/>
      <w:lvlText w:val=""/>
      <w:lvlJc w:val="left"/>
      <w:pPr>
        <w:ind w:left="1211" w:hanging="360"/>
      </w:pPr>
      <w:rPr>
        <w:rFonts w:ascii="Symbol" w:eastAsia="Times New Roman" w:hAnsi="Symbol"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FF415DB"/>
    <w:multiLevelType w:val="hybridMultilevel"/>
    <w:tmpl w:val="71FAF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4D0DF3"/>
    <w:multiLevelType w:val="hybridMultilevel"/>
    <w:tmpl w:val="327E5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163693"/>
    <w:multiLevelType w:val="hybridMultilevel"/>
    <w:tmpl w:val="CA34B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8F59FC"/>
    <w:multiLevelType w:val="hybridMultilevel"/>
    <w:tmpl w:val="CB5E51B6"/>
    <w:lvl w:ilvl="0" w:tplc="0427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3B31E7"/>
    <w:multiLevelType w:val="hybridMultilevel"/>
    <w:tmpl w:val="484288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B8E7844"/>
    <w:multiLevelType w:val="hybridMultilevel"/>
    <w:tmpl w:val="31CA6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371499"/>
    <w:multiLevelType w:val="hybridMultilevel"/>
    <w:tmpl w:val="B5EED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6B712BE"/>
    <w:multiLevelType w:val="hybridMultilevel"/>
    <w:tmpl w:val="4DFAF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706DE3"/>
    <w:multiLevelType w:val="hybridMultilevel"/>
    <w:tmpl w:val="FBFECE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DAE5F7E"/>
    <w:multiLevelType w:val="hybridMultilevel"/>
    <w:tmpl w:val="B0820442"/>
    <w:lvl w:ilvl="0" w:tplc="0427000D">
      <w:start w:val="1"/>
      <w:numFmt w:val="bullet"/>
      <w:lvlText w:val=""/>
      <w:lvlJc w:val="left"/>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8"/>
  </w:num>
  <w:num w:numId="6">
    <w:abstractNumId w:val="3"/>
  </w:num>
  <w:num w:numId="7">
    <w:abstractNumId w:val="10"/>
  </w:num>
  <w:num w:numId="8">
    <w:abstractNumId w:val="0"/>
  </w:num>
  <w:num w:numId="9">
    <w:abstractNumId w:val="6"/>
  </w:num>
  <w:num w:numId="10">
    <w:abstractNumId w:val="1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6"/>
    <w:rsid w:val="00013FEE"/>
    <w:rsid w:val="00062720"/>
    <w:rsid w:val="00063FC3"/>
    <w:rsid w:val="00073E1C"/>
    <w:rsid w:val="000746C7"/>
    <w:rsid w:val="0007595D"/>
    <w:rsid w:val="00077001"/>
    <w:rsid w:val="000778C5"/>
    <w:rsid w:val="0008104E"/>
    <w:rsid w:val="00093F7A"/>
    <w:rsid w:val="000F025A"/>
    <w:rsid w:val="00105C93"/>
    <w:rsid w:val="001176FC"/>
    <w:rsid w:val="001347AC"/>
    <w:rsid w:val="00155836"/>
    <w:rsid w:val="00163FB4"/>
    <w:rsid w:val="001971AC"/>
    <w:rsid w:val="001A2E7E"/>
    <w:rsid w:val="001A4D90"/>
    <w:rsid w:val="001A6C15"/>
    <w:rsid w:val="001E2951"/>
    <w:rsid w:val="001E4CE3"/>
    <w:rsid w:val="001E7E99"/>
    <w:rsid w:val="001F39A8"/>
    <w:rsid w:val="00215EE0"/>
    <w:rsid w:val="00216428"/>
    <w:rsid w:val="00237C77"/>
    <w:rsid w:val="002432DE"/>
    <w:rsid w:val="00252FD9"/>
    <w:rsid w:val="0027208E"/>
    <w:rsid w:val="002C193D"/>
    <w:rsid w:val="002C6A6A"/>
    <w:rsid w:val="003055BA"/>
    <w:rsid w:val="00320B62"/>
    <w:rsid w:val="00325031"/>
    <w:rsid w:val="00337FA6"/>
    <w:rsid w:val="00365061"/>
    <w:rsid w:val="00380928"/>
    <w:rsid w:val="00382409"/>
    <w:rsid w:val="003B407B"/>
    <w:rsid w:val="003E7C46"/>
    <w:rsid w:val="0042112D"/>
    <w:rsid w:val="00421D7D"/>
    <w:rsid w:val="00423A53"/>
    <w:rsid w:val="0042561D"/>
    <w:rsid w:val="00491D4A"/>
    <w:rsid w:val="00495D60"/>
    <w:rsid w:val="004B4318"/>
    <w:rsid w:val="004B5AC9"/>
    <w:rsid w:val="00506286"/>
    <w:rsid w:val="00513699"/>
    <w:rsid w:val="00516F4A"/>
    <w:rsid w:val="005955C3"/>
    <w:rsid w:val="005E5CC8"/>
    <w:rsid w:val="00611473"/>
    <w:rsid w:val="00634E8D"/>
    <w:rsid w:val="0064260E"/>
    <w:rsid w:val="00644D1F"/>
    <w:rsid w:val="006601C3"/>
    <w:rsid w:val="006644F6"/>
    <w:rsid w:val="006711B8"/>
    <w:rsid w:val="006956EB"/>
    <w:rsid w:val="006A3A24"/>
    <w:rsid w:val="006A51CF"/>
    <w:rsid w:val="006A6522"/>
    <w:rsid w:val="006D2663"/>
    <w:rsid w:val="00714FEF"/>
    <w:rsid w:val="00734D71"/>
    <w:rsid w:val="0074213B"/>
    <w:rsid w:val="007603EF"/>
    <w:rsid w:val="00783D78"/>
    <w:rsid w:val="007846EE"/>
    <w:rsid w:val="0078612D"/>
    <w:rsid w:val="007A0F49"/>
    <w:rsid w:val="008124B3"/>
    <w:rsid w:val="008176BE"/>
    <w:rsid w:val="0082166C"/>
    <w:rsid w:val="0083231A"/>
    <w:rsid w:val="008531E3"/>
    <w:rsid w:val="00860B0F"/>
    <w:rsid w:val="00880C76"/>
    <w:rsid w:val="00891364"/>
    <w:rsid w:val="008A3E81"/>
    <w:rsid w:val="008D4E03"/>
    <w:rsid w:val="008E06B6"/>
    <w:rsid w:val="00903F98"/>
    <w:rsid w:val="00912D12"/>
    <w:rsid w:val="00950566"/>
    <w:rsid w:val="0098445F"/>
    <w:rsid w:val="009A492E"/>
    <w:rsid w:val="009C2765"/>
    <w:rsid w:val="00A01513"/>
    <w:rsid w:val="00A017C2"/>
    <w:rsid w:val="00A06D29"/>
    <w:rsid w:val="00A12CBA"/>
    <w:rsid w:val="00A1424A"/>
    <w:rsid w:val="00A51B3A"/>
    <w:rsid w:val="00A5659A"/>
    <w:rsid w:val="00A744D1"/>
    <w:rsid w:val="00AD4B3B"/>
    <w:rsid w:val="00AE13D2"/>
    <w:rsid w:val="00AF69E3"/>
    <w:rsid w:val="00B0050B"/>
    <w:rsid w:val="00B00A48"/>
    <w:rsid w:val="00B04AAD"/>
    <w:rsid w:val="00B10A95"/>
    <w:rsid w:val="00B2791B"/>
    <w:rsid w:val="00B53554"/>
    <w:rsid w:val="00B6415B"/>
    <w:rsid w:val="00B7009F"/>
    <w:rsid w:val="00B85D22"/>
    <w:rsid w:val="00B942AD"/>
    <w:rsid w:val="00C16433"/>
    <w:rsid w:val="00C34B35"/>
    <w:rsid w:val="00C4499B"/>
    <w:rsid w:val="00C465D0"/>
    <w:rsid w:val="00C6084A"/>
    <w:rsid w:val="00C630EE"/>
    <w:rsid w:val="00C716A7"/>
    <w:rsid w:val="00C842DB"/>
    <w:rsid w:val="00C87377"/>
    <w:rsid w:val="00C95D19"/>
    <w:rsid w:val="00CA3686"/>
    <w:rsid w:val="00CC0E5A"/>
    <w:rsid w:val="00CC25CF"/>
    <w:rsid w:val="00CC4FD1"/>
    <w:rsid w:val="00D04954"/>
    <w:rsid w:val="00D3047C"/>
    <w:rsid w:val="00D313D4"/>
    <w:rsid w:val="00D3323A"/>
    <w:rsid w:val="00D57E71"/>
    <w:rsid w:val="00D752A4"/>
    <w:rsid w:val="00D75D42"/>
    <w:rsid w:val="00D846FC"/>
    <w:rsid w:val="00DA3297"/>
    <w:rsid w:val="00DC5A4F"/>
    <w:rsid w:val="00DF3B65"/>
    <w:rsid w:val="00DF775B"/>
    <w:rsid w:val="00E624F2"/>
    <w:rsid w:val="00E77CF3"/>
    <w:rsid w:val="00E934B0"/>
    <w:rsid w:val="00EA2412"/>
    <w:rsid w:val="00EA5A2E"/>
    <w:rsid w:val="00EB578B"/>
    <w:rsid w:val="00F01208"/>
    <w:rsid w:val="00F0412C"/>
    <w:rsid w:val="00F26525"/>
    <w:rsid w:val="00F43C0E"/>
    <w:rsid w:val="00F465DE"/>
    <w:rsid w:val="00F57B9F"/>
    <w:rsid w:val="00F61DC9"/>
    <w:rsid w:val="00F7037C"/>
    <w:rsid w:val="00F7385B"/>
    <w:rsid w:val="00FB7B2C"/>
    <w:rsid w:val="00FC7CF3"/>
    <w:rsid w:val="00FE1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49C1"/>
  <w15:docId w15:val="{F1713B3C-1225-429E-BF94-7943A32C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23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06286"/>
    <w:pPr>
      <w:spacing w:after="0" w:line="240" w:lineRule="auto"/>
    </w:pPr>
  </w:style>
  <w:style w:type="paragraph" w:styleId="Sraopastraipa">
    <w:name w:val="List Paragraph"/>
    <w:basedOn w:val="prastasis"/>
    <w:uiPriority w:val="34"/>
    <w:qFormat/>
    <w:rsid w:val="00506286"/>
    <w:pPr>
      <w:ind w:left="720"/>
      <w:contextualSpacing/>
    </w:pPr>
    <w:rPr>
      <w:rFonts w:ascii="Calibri" w:eastAsia="Calibri" w:hAnsi="Calibri" w:cs="Times New Roman"/>
    </w:rPr>
  </w:style>
  <w:style w:type="paragraph" w:styleId="prastasiniatinklio">
    <w:name w:val="Normal (Web)"/>
    <w:aliases w:val="Обычный (Web)"/>
    <w:basedOn w:val="prastasis"/>
    <w:unhideWhenUsed/>
    <w:rsid w:val="00506286"/>
    <w:pPr>
      <w:spacing w:after="0" w:line="240" w:lineRule="auto"/>
    </w:pPr>
    <w:rPr>
      <w:rFonts w:ascii="Times New Roman" w:eastAsia="Calibri" w:hAnsi="Times New Roman" w:cs="Times New Roman"/>
      <w:sz w:val="24"/>
      <w:szCs w:val="24"/>
      <w:lang w:eastAsia="lt-LT"/>
    </w:rPr>
  </w:style>
  <w:style w:type="paragraph" w:styleId="Antrats">
    <w:name w:val="header"/>
    <w:aliases w:val=" Diagrama Diagrama Char Char Diagrama Diagrama Char Diagrama Char,Diagrama Diagrama Char Char Diagrama Diagrama Char Char Diagrama Char, Diagrama Diagrama Char Char Diagrama Diagrama Char Diagrama Char Diagrama Diagrama Char Char"/>
    <w:basedOn w:val="prastasis"/>
    <w:link w:val="AntratsDiagrama"/>
    <w:uiPriority w:val="99"/>
    <w:rsid w:val="00CC25CF"/>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aliases w:val=" Diagrama Diagrama Char Char Diagrama Diagrama Char Diagrama Char Diagrama,Diagrama Diagrama Char Char Diagrama Diagrama Char Char Diagrama Char Diagrama"/>
    <w:basedOn w:val="Numatytasispastraiposriftas"/>
    <w:link w:val="Antrats"/>
    <w:uiPriority w:val="99"/>
    <w:rsid w:val="00CC25CF"/>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C25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5CF"/>
    <w:rPr>
      <w:rFonts w:ascii="Tahoma" w:hAnsi="Tahoma" w:cs="Tahoma"/>
      <w:sz w:val="16"/>
      <w:szCs w:val="16"/>
    </w:rPr>
  </w:style>
  <w:style w:type="paragraph" w:customStyle="1" w:styleId="Default">
    <w:name w:val="Default"/>
    <w:rsid w:val="0036506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39"/>
    <w:rsid w:val="001A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nhideWhenUsed/>
    <w:rsid w:val="000746C7"/>
    <w:pPr>
      <w:suppressAutoHyphens/>
      <w:spacing w:after="120" w:line="240" w:lineRule="auto"/>
    </w:pPr>
    <w:rPr>
      <w:rFonts w:ascii="Times New Roman" w:eastAsia="Times New Roman" w:hAnsi="Times New Roman" w:cs="Times New Roman"/>
      <w:sz w:val="16"/>
      <w:szCs w:val="16"/>
      <w:lang w:eastAsia="ar-SA"/>
    </w:rPr>
  </w:style>
  <w:style w:type="character" w:customStyle="1" w:styleId="Pagrindinistekstas3Diagrama">
    <w:name w:val="Pagrindinis tekstas 3 Diagrama"/>
    <w:basedOn w:val="Numatytasispastraiposriftas"/>
    <w:link w:val="Pagrindinistekstas3"/>
    <w:rsid w:val="000746C7"/>
    <w:rPr>
      <w:rFonts w:ascii="Times New Roman" w:eastAsia="Times New Roman" w:hAnsi="Times New Roman" w:cs="Times New Roman"/>
      <w:sz w:val="16"/>
      <w:szCs w:val="16"/>
      <w:lang w:eastAsia="ar-SA"/>
    </w:rPr>
  </w:style>
  <w:style w:type="paragraph" w:styleId="Porat">
    <w:name w:val="footer"/>
    <w:basedOn w:val="prastasis"/>
    <w:link w:val="PoratDiagrama"/>
    <w:uiPriority w:val="99"/>
    <w:unhideWhenUsed/>
    <w:rsid w:val="00734D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3576">
      <w:bodyDiv w:val="1"/>
      <w:marLeft w:val="0"/>
      <w:marRight w:val="0"/>
      <w:marTop w:val="0"/>
      <w:marBottom w:val="0"/>
      <w:divBdr>
        <w:top w:val="none" w:sz="0" w:space="0" w:color="auto"/>
        <w:left w:val="none" w:sz="0" w:space="0" w:color="auto"/>
        <w:bottom w:val="none" w:sz="0" w:space="0" w:color="auto"/>
        <w:right w:val="none" w:sz="0" w:space="0" w:color="auto"/>
      </w:divBdr>
    </w:div>
    <w:div w:id="210926990">
      <w:bodyDiv w:val="1"/>
      <w:marLeft w:val="0"/>
      <w:marRight w:val="0"/>
      <w:marTop w:val="0"/>
      <w:marBottom w:val="0"/>
      <w:divBdr>
        <w:top w:val="none" w:sz="0" w:space="0" w:color="auto"/>
        <w:left w:val="none" w:sz="0" w:space="0" w:color="auto"/>
        <w:bottom w:val="none" w:sz="0" w:space="0" w:color="auto"/>
        <w:right w:val="none" w:sz="0" w:space="0" w:color="auto"/>
      </w:divBdr>
    </w:div>
    <w:div w:id="597716219">
      <w:bodyDiv w:val="1"/>
      <w:marLeft w:val="0"/>
      <w:marRight w:val="0"/>
      <w:marTop w:val="0"/>
      <w:marBottom w:val="0"/>
      <w:divBdr>
        <w:top w:val="none" w:sz="0" w:space="0" w:color="auto"/>
        <w:left w:val="none" w:sz="0" w:space="0" w:color="auto"/>
        <w:bottom w:val="none" w:sz="0" w:space="0" w:color="auto"/>
        <w:right w:val="none" w:sz="0" w:space="0" w:color="auto"/>
      </w:divBdr>
    </w:div>
    <w:div w:id="1092966939">
      <w:bodyDiv w:val="1"/>
      <w:marLeft w:val="0"/>
      <w:marRight w:val="0"/>
      <w:marTop w:val="0"/>
      <w:marBottom w:val="0"/>
      <w:divBdr>
        <w:top w:val="none" w:sz="0" w:space="0" w:color="auto"/>
        <w:left w:val="none" w:sz="0" w:space="0" w:color="auto"/>
        <w:bottom w:val="none" w:sz="0" w:space="0" w:color="auto"/>
        <w:right w:val="none" w:sz="0" w:space="0" w:color="auto"/>
      </w:divBdr>
    </w:div>
    <w:div w:id="14333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FED73-C9FA-4752-82F9-2B8C01CE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17329</Words>
  <Characters>9879</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auslpn</dc:creator>
  <cp:lastModifiedBy>Vaida Kostygova</cp:lastModifiedBy>
  <cp:revision>2</cp:revision>
  <cp:lastPrinted>2022-01-21T11:47:00Z</cp:lastPrinted>
  <dcterms:created xsi:type="dcterms:W3CDTF">2022-01-24T12:37:00Z</dcterms:created>
  <dcterms:modified xsi:type="dcterms:W3CDTF">2022-01-24T12:37:00Z</dcterms:modified>
</cp:coreProperties>
</file>